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07A4F6" w14:textId="77777777" w:rsidR="003D0E70" w:rsidRPr="003D0E70" w:rsidRDefault="003D0E70" w:rsidP="000968D3">
      <w:pPr>
        <w:pStyle w:val="Heading1"/>
      </w:pPr>
      <w:r w:rsidRPr="003D0E70">
        <mc:AlternateContent>
          <mc:Choice Requires="wpg">
            <w:drawing>
              <wp:inline distT="0" distB="0" distL="0" distR="0" wp14:anchorId="6AD60A35" wp14:editId="30528A9E">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802B24">
        <w:tab/>
        <w:t>Grade 1</w:t>
      </w:r>
      <w:r w:rsidR="00C03A6B">
        <w:t xml:space="preserve">:  Unit </w:t>
      </w:r>
      <w:r w:rsidR="00802B24">
        <w:t>3</w:t>
      </w:r>
      <w:r w:rsidRPr="003D0E70">
        <w:t xml:space="preserve"> </w:t>
      </w:r>
      <w:r w:rsidR="009D382D">
        <w:t>Overview</w:t>
      </w:r>
      <w:r w:rsidR="000968D3">
        <w:t xml:space="preserve"> </w:t>
      </w:r>
    </w:p>
    <w:p w14:paraId="485027D7"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46153EF8" w14:textId="77777777" w:rsidR="00F10047" w:rsidRPr="00E21CEF" w:rsidRDefault="00F10047" w:rsidP="00786343"/>
    <w:p w14:paraId="381D7E18" w14:textId="77777777" w:rsidR="000968D3" w:rsidRDefault="000968D3" w:rsidP="000968D3"/>
    <w:p w14:paraId="5E7B3BEE" w14:textId="55148DC0" w:rsidR="009D382D" w:rsidRPr="00796CF4" w:rsidRDefault="00B16410" w:rsidP="009D382D">
      <w:pPr>
        <w:pStyle w:val="Heading2"/>
        <w:ind w:left="0"/>
      </w:pPr>
      <w:r>
        <w:t xml:space="preserve">Number: </w:t>
      </w:r>
      <w:r w:rsidR="00912E05">
        <w:t>Part Whole and Compare Problems and Place Value</w:t>
      </w:r>
    </w:p>
    <w:p w14:paraId="38B6F1CD" w14:textId="77777777" w:rsidR="009D382D" w:rsidRPr="00796CF4" w:rsidRDefault="00B16410" w:rsidP="009D382D">
      <w:pPr>
        <w:pStyle w:val="Heading3"/>
      </w:pPr>
      <w:r>
        <w:t>Length of Unit:  3-4</w:t>
      </w:r>
      <w:r w:rsidR="009D382D" w:rsidRPr="00796CF4">
        <w:t xml:space="preserve"> weeks</w:t>
      </w:r>
    </w:p>
    <w:p w14:paraId="5D67253B" w14:textId="77777777" w:rsidR="009D382D" w:rsidRPr="00F10047" w:rsidRDefault="009D382D" w:rsidP="009D382D"/>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2982"/>
        <w:gridCol w:w="1253"/>
        <w:gridCol w:w="3420"/>
        <w:gridCol w:w="5945"/>
      </w:tblGrid>
      <w:tr w:rsidR="009D382D" w:rsidRPr="00796CF4" w14:paraId="7CC08528" w14:textId="77777777" w:rsidTr="009D382D">
        <w:trPr>
          <w:jc w:val="center"/>
        </w:trPr>
        <w:tc>
          <w:tcPr>
            <w:tcW w:w="4235" w:type="dxa"/>
            <w:gridSpan w:val="2"/>
            <w:tcBorders>
              <w:top w:val="single" w:sz="4" w:space="0" w:color="auto"/>
              <w:left w:val="single" w:sz="4" w:space="0" w:color="auto"/>
            </w:tcBorders>
            <w:shd w:val="clear" w:color="auto" w:fill="C0E8FF" w:themeFill="accent6" w:themeFillTint="33"/>
          </w:tcPr>
          <w:p w14:paraId="590C2784" w14:textId="77777777" w:rsidR="009D382D" w:rsidRPr="00796CF4" w:rsidRDefault="009D382D" w:rsidP="00011CF6">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4254E00D" w14:textId="77777777" w:rsidR="009D382D" w:rsidRPr="00796CF4" w:rsidRDefault="009D382D" w:rsidP="00011CF6">
            <w:pPr>
              <w:pStyle w:val="Heading4"/>
              <w:outlineLvl w:val="3"/>
            </w:pPr>
            <w:r w:rsidRPr="00796CF4">
              <w:t>Grade Level Focus Areas</w:t>
            </w:r>
          </w:p>
        </w:tc>
        <w:tc>
          <w:tcPr>
            <w:tcW w:w="5945" w:type="dxa"/>
            <w:tcBorders>
              <w:top w:val="single" w:sz="4" w:space="0" w:color="auto"/>
              <w:right w:val="single" w:sz="4" w:space="0" w:color="auto"/>
            </w:tcBorders>
            <w:shd w:val="clear" w:color="auto" w:fill="C0E8FF" w:themeFill="accent6" w:themeFillTint="33"/>
          </w:tcPr>
          <w:p w14:paraId="4D24182E" w14:textId="77777777" w:rsidR="009D382D" w:rsidRPr="006B592F" w:rsidRDefault="009D382D" w:rsidP="00011CF6">
            <w:pPr>
              <w:pStyle w:val="Heading4"/>
              <w:outlineLvl w:val="3"/>
              <w:rPr>
                <w:b w:val="0"/>
                <w:i/>
                <w:sz w:val="20"/>
              </w:rPr>
            </w:pPr>
            <w:r w:rsidRPr="00796CF4">
              <w:t>Grade Level Domains and Standards</w:t>
            </w:r>
            <w:r w:rsidR="006B592F">
              <w:t xml:space="preserve"> </w:t>
            </w:r>
            <w:r w:rsidR="006B592F">
              <w:rPr>
                <w:b w:val="0"/>
                <w:i/>
                <w:sz w:val="20"/>
              </w:rPr>
              <w:t>(See Appendix A)</w:t>
            </w:r>
          </w:p>
        </w:tc>
      </w:tr>
      <w:tr w:rsidR="009D382D" w:rsidRPr="00F10047" w14:paraId="0EF48940" w14:textId="77777777" w:rsidTr="009D382D">
        <w:trPr>
          <w:trHeight w:val="689"/>
          <w:jc w:val="center"/>
        </w:trPr>
        <w:tc>
          <w:tcPr>
            <w:tcW w:w="4235" w:type="dxa"/>
            <w:gridSpan w:val="2"/>
            <w:tcBorders>
              <w:left w:val="single" w:sz="4" w:space="0" w:color="auto"/>
              <w:bottom w:val="single" w:sz="4" w:space="0" w:color="auto"/>
            </w:tcBorders>
          </w:tcPr>
          <w:p w14:paraId="00C157AE" w14:textId="77777777" w:rsidR="009D382D" w:rsidRPr="009D382D" w:rsidRDefault="009D382D" w:rsidP="00011CF6">
            <w:pPr>
              <w:pStyle w:val="Numbering"/>
              <w:rPr>
                <w:sz w:val="22"/>
              </w:rPr>
            </w:pPr>
            <w:r w:rsidRPr="009D382D">
              <w:rPr>
                <w:sz w:val="22"/>
              </w:rPr>
              <w:t>Make sense of problems and persevere in solving them.</w:t>
            </w:r>
          </w:p>
          <w:p w14:paraId="144D6357" w14:textId="77777777" w:rsidR="009D382D" w:rsidRPr="009D382D" w:rsidRDefault="009D382D" w:rsidP="00011CF6">
            <w:pPr>
              <w:pStyle w:val="Numbering"/>
              <w:rPr>
                <w:sz w:val="22"/>
              </w:rPr>
            </w:pPr>
            <w:r w:rsidRPr="009D382D">
              <w:rPr>
                <w:sz w:val="22"/>
              </w:rPr>
              <w:t>Reason abstractly and quantitatively.</w:t>
            </w:r>
          </w:p>
          <w:p w14:paraId="77E8ABC3" w14:textId="77777777" w:rsidR="009D382D" w:rsidRPr="009D382D" w:rsidRDefault="009D382D" w:rsidP="00011CF6">
            <w:pPr>
              <w:pStyle w:val="Numbering"/>
              <w:rPr>
                <w:sz w:val="22"/>
              </w:rPr>
            </w:pPr>
            <w:r w:rsidRPr="009D382D">
              <w:rPr>
                <w:sz w:val="22"/>
              </w:rPr>
              <w:t>Construct viable arguments and critique the reasoning of others.</w:t>
            </w:r>
          </w:p>
          <w:p w14:paraId="34125529" w14:textId="77777777" w:rsidR="009D382D" w:rsidRPr="009D382D" w:rsidRDefault="009D382D" w:rsidP="00011CF6">
            <w:pPr>
              <w:pStyle w:val="Numbering"/>
              <w:rPr>
                <w:sz w:val="22"/>
              </w:rPr>
            </w:pPr>
            <w:r w:rsidRPr="009D382D">
              <w:rPr>
                <w:sz w:val="22"/>
              </w:rPr>
              <w:t>Model with mathematics.</w:t>
            </w:r>
          </w:p>
          <w:p w14:paraId="3E59C4C3" w14:textId="77777777" w:rsidR="009D382D" w:rsidRPr="009D382D" w:rsidRDefault="009D382D" w:rsidP="00011CF6">
            <w:pPr>
              <w:pStyle w:val="Numbering"/>
              <w:rPr>
                <w:sz w:val="22"/>
              </w:rPr>
            </w:pPr>
            <w:r w:rsidRPr="009D382D">
              <w:rPr>
                <w:sz w:val="22"/>
              </w:rPr>
              <w:t>Use appropriate tools strategically.</w:t>
            </w:r>
          </w:p>
          <w:p w14:paraId="14DE2F87" w14:textId="77777777" w:rsidR="009D382D" w:rsidRPr="009D382D" w:rsidRDefault="009D382D" w:rsidP="00011CF6">
            <w:pPr>
              <w:pStyle w:val="Numbering"/>
              <w:rPr>
                <w:sz w:val="22"/>
              </w:rPr>
            </w:pPr>
            <w:r w:rsidRPr="009D382D">
              <w:rPr>
                <w:sz w:val="22"/>
              </w:rPr>
              <w:t>Attend to precision.</w:t>
            </w:r>
          </w:p>
          <w:p w14:paraId="2AD21AD9" w14:textId="77777777" w:rsidR="009D382D" w:rsidRPr="009D382D" w:rsidRDefault="009D382D" w:rsidP="00011CF6">
            <w:pPr>
              <w:pStyle w:val="Numbering"/>
              <w:rPr>
                <w:sz w:val="22"/>
              </w:rPr>
            </w:pPr>
            <w:r w:rsidRPr="009D382D">
              <w:rPr>
                <w:sz w:val="22"/>
              </w:rPr>
              <w:t>Look for and make use of structure.</w:t>
            </w:r>
          </w:p>
          <w:p w14:paraId="595CB146" w14:textId="77777777" w:rsidR="009D382D" w:rsidRPr="009D382D" w:rsidRDefault="009D382D" w:rsidP="00011CF6">
            <w:pPr>
              <w:pStyle w:val="Numbering"/>
              <w:rPr>
                <w:sz w:val="22"/>
              </w:rPr>
            </w:pPr>
            <w:r w:rsidRPr="009D382D">
              <w:rPr>
                <w:sz w:val="22"/>
              </w:rPr>
              <w:t>Look for and express regularity in repeated reasoning.</w:t>
            </w:r>
          </w:p>
        </w:tc>
        <w:tc>
          <w:tcPr>
            <w:tcW w:w="3420" w:type="dxa"/>
            <w:tcBorders>
              <w:bottom w:val="single" w:sz="4" w:space="0" w:color="auto"/>
            </w:tcBorders>
          </w:tcPr>
          <w:p w14:paraId="5409BE58" w14:textId="77777777" w:rsidR="00802B24" w:rsidRDefault="00802B24" w:rsidP="00802B24">
            <w:pPr>
              <w:autoSpaceDE w:val="0"/>
              <w:autoSpaceDN w:val="0"/>
              <w:adjustRightInd w:val="0"/>
              <w:rPr>
                <w:rFonts w:cs="Gotham-Medium"/>
                <w:szCs w:val="20"/>
              </w:rPr>
            </w:pPr>
            <w:r w:rsidRPr="00AD177B">
              <w:rPr>
                <w:rFonts w:cs="Gotham-Medium"/>
                <w:b/>
                <w:szCs w:val="20"/>
              </w:rPr>
              <w:t>FA</w:t>
            </w:r>
            <w:r>
              <w:rPr>
                <w:rFonts w:cs="Gotham-Medium"/>
                <w:b/>
                <w:szCs w:val="20"/>
              </w:rPr>
              <w:t>.</w:t>
            </w:r>
            <w:r w:rsidRPr="00AD177B">
              <w:rPr>
                <w:rFonts w:cs="Gotham-Medium"/>
                <w:b/>
                <w:szCs w:val="20"/>
              </w:rPr>
              <w:t>1. Addition &amp; Subtraction:</w:t>
            </w:r>
            <w:r>
              <w:rPr>
                <w:rFonts w:cs="Gotham-Medium"/>
                <w:szCs w:val="20"/>
              </w:rPr>
              <w:t xml:space="preserve"> D</w:t>
            </w:r>
            <w:r w:rsidRPr="00795880">
              <w:rPr>
                <w:rFonts w:cs="Gotham-Medium"/>
                <w:szCs w:val="20"/>
              </w:rPr>
              <w:t>eveloping understanding of addition, subtraction, and strategies for</w:t>
            </w:r>
            <w:r>
              <w:rPr>
                <w:rFonts w:cs="Gotham-Medium"/>
                <w:szCs w:val="20"/>
              </w:rPr>
              <w:t xml:space="preserve"> </w:t>
            </w:r>
            <w:r w:rsidRPr="00795880">
              <w:rPr>
                <w:rFonts w:cs="Gotham-Medium"/>
                <w:szCs w:val="20"/>
              </w:rPr>
              <w:t>addition and subtraction within 20</w:t>
            </w:r>
          </w:p>
          <w:p w14:paraId="14D80FBC" w14:textId="77777777" w:rsidR="00802B24" w:rsidRDefault="00802B24" w:rsidP="00802B24">
            <w:pPr>
              <w:autoSpaceDE w:val="0"/>
              <w:autoSpaceDN w:val="0"/>
              <w:adjustRightInd w:val="0"/>
              <w:rPr>
                <w:rFonts w:cs="Gotham-Medium"/>
                <w:szCs w:val="20"/>
              </w:rPr>
            </w:pPr>
          </w:p>
          <w:p w14:paraId="3FE06A00" w14:textId="77777777" w:rsidR="009D382D" w:rsidRPr="005B7B03" w:rsidRDefault="00802B24" w:rsidP="00802B24">
            <w:pPr>
              <w:rPr>
                <w:sz w:val="20"/>
                <w:szCs w:val="20"/>
              </w:rPr>
            </w:pPr>
            <w:r w:rsidRPr="00AD177B">
              <w:rPr>
                <w:b/>
                <w:szCs w:val="20"/>
              </w:rPr>
              <w:t>FA</w:t>
            </w:r>
            <w:r>
              <w:rPr>
                <w:b/>
                <w:szCs w:val="20"/>
              </w:rPr>
              <w:t>.</w:t>
            </w:r>
            <w:r w:rsidRPr="00AD177B">
              <w:rPr>
                <w:b/>
                <w:szCs w:val="20"/>
              </w:rPr>
              <w:t>2. Place Value Understanding:</w:t>
            </w:r>
            <w:r>
              <w:rPr>
                <w:szCs w:val="20"/>
              </w:rPr>
              <w:t xml:space="preserve"> D</w:t>
            </w:r>
            <w:r w:rsidRPr="00795880">
              <w:rPr>
                <w:szCs w:val="20"/>
              </w:rPr>
              <w:t>eveloping understanding of whole</w:t>
            </w:r>
            <w:r>
              <w:rPr>
                <w:szCs w:val="20"/>
              </w:rPr>
              <w:t xml:space="preserve"> </w:t>
            </w:r>
            <w:r w:rsidRPr="00795880">
              <w:rPr>
                <w:szCs w:val="20"/>
              </w:rPr>
              <w:t>number relationships and place value, including grouping in tens and</w:t>
            </w:r>
            <w:r>
              <w:rPr>
                <w:szCs w:val="20"/>
              </w:rPr>
              <w:t xml:space="preserve"> </w:t>
            </w:r>
            <w:r w:rsidRPr="00795880">
              <w:rPr>
                <w:szCs w:val="20"/>
              </w:rPr>
              <w:t>ones</w:t>
            </w:r>
          </w:p>
        </w:tc>
        <w:tc>
          <w:tcPr>
            <w:tcW w:w="5945" w:type="dxa"/>
            <w:tcBorders>
              <w:bottom w:val="single" w:sz="4" w:space="0" w:color="auto"/>
              <w:right w:val="single" w:sz="4" w:space="0" w:color="auto"/>
            </w:tcBorders>
          </w:tcPr>
          <w:p w14:paraId="1F4F5F83" w14:textId="77777777" w:rsidR="00802B24" w:rsidRPr="00CE4D8A" w:rsidRDefault="00802B24" w:rsidP="00802B24">
            <w:pPr>
              <w:autoSpaceDE w:val="0"/>
              <w:autoSpaceDN w:val="0"/>
              <w:adjustRightInd w:val="0"/>
              <w:rPr>
                <w:rFonts w:cs="Gotham-Medium"/>
                <w:b/>
                <w:szCs w:val="20"/>
              </w:rPr>
            </w:pPr>
            <w:r w:rsidRPr="00CE4D8A">
              <w:rPr>
                <w:rFonts w:cs="Gotham-Medium"/>
                <w:b/>
                <w:szCs w:val="20"/>
              </w:rPr>
              <w:t>Major Domain: Number and Operations in Base Ten</w:t>
            </w:r>
          </w:p>
          <w:p w14:paraId="430FF271" w14:textId="77777777" w:rsidR="00802B24" w:rsidRPr="00CE4D8A" w:rsidRDefault="00802B24" w:rsidP="00802B24">
            <w:pPr>
              <w:autoSpaceDE w:val="0"/>
              <w:autoSpaceDN w:val="0"/>
              <w:adjustRightInd w:val="0"/>
              <w:rPr>
                <w:rFonts w:cs="Gotham-Medium"/>
                <w:szCs w:val="20"/>
              </w:rPr>
            </w:pPr>
            <w:r w:rsidRPr="00CE4D8A">
              <w:rPr>
                <w:rFonts w:cs="Gotham-Bold"/>
                <w:bCs/>
                <w:szCs w:val="20"/>
              </w:rPr>
              <w:t>Understand place value</w:t>
            </w:r>
          </w:p>
          <w:p w14:paraId="55D4A853" w14:textId="77777777" w:rsidR="00802B24" w:rsidRPr="00CE4D8A" w:rsidRDefault="00802B24" w:rsidP="00802B24">
            <w:pPr>
              <w:autoSpaceDE w:val="0"/>
              <w:autoSpaceDN w:val="0"/>
              <w:adjustRightInd w:val="0"/>
              <w:rPr>
                <w:rFonts w:cs="Gotham-Medium"/>
                <w:szCs w:val="20"/>
              </w:rPr>
            </w:pPr>
          </w:p>
          <w:p w14:paraId="5A4A58BC" w14:textId="77777777" w:rsidR="00802B24" w:rsidRPr="00CE4D8A" w:rsidRDefault="00802B24" w:rsidP="00802B24">
            <w:pPr>
              <w:autoSpaceDE w:val="0"/>
              <w:autoSpaceDN w:val="0"/>
              <w:adjustRightInd w:val="0"/>
              <w:rPr>
                <w:rFonts w:cs="Gotham-Medium"/>
                <w:b/>
                <w:szCs w:val="20"/>
              </w:rPr>
            </w:pPr>
            <w:r w:rsidRPr="00CE4D8A">
              <w:rPr>
                <w:rFonts w:cs="Gotham-Medium"/>
                <w:b/>
                <w:szCs w:val="20"/>
              </w:rPr>
              <w:t xml:space="preserve">Supporting Domains: Operations and Algebraic Thinking </w:t>
            </w:r>
          </w:p>
          <w:p w14:paraId="713B034E" w14:textId="77777777" w:rsidR="00802B24" w:rsidRPr="00CE4D8A" w:rsidRDefault="00802B24" w:rsidP="00802B24">
            <w:pPr>
              <w:tabs>
                <w:tab w:val="left" w:pos="912"/>
              </w:tabs>
              <w:autoSpaceDE w:val="0"/>
              <w:autoSpaceDN w:val="0"/>
              <w:adjustRightInd w:val="0"/>
              <w:ind w:left="912" w:hanging="900"/>
              <w:rPr>
                <w:rFonts w:cs="Gotham-Bold"/>
                <w:bCs/>
                <w:szCs w:val="20"/>
              </w:rPr>
            </w:pPr>
            <w:r w:rsidRPr="00CE4D8A">
              <w:rPr>
                <w:rFonts w:cs="Gotham-Bold"/>
                <w:bCs/>
                <w:szCs w:val="20"/>
              </w:rPr>
              <w:t>Represent and solve problems involving addition and</w:t>
            </w:r>
          </w:p>
          <w:p w14:paraId="7FFAAD76" w14:textId="77777777" w:rsidR="00802B24" w:rsidRPr="00CE4D8A" w:rsidRDefault="00802B24" w:rsidP="00802B24">
            <w:pPr>
              <w:tabs>
                <w:tab w:val="left" w:pos="912"/>
              </w:tabs>
              <w:autoSpaceDE w:val="0"/>
              <w:autoSpaceDN w:val="0"/>
              <w:adjustRightInd w:val="0"/>
              <w:ind w:left="912" w:hanging="900"/>
              <w:rPr>
                <w:rFonts w:cs="Gotham-Bold"/>
                <w:bCs/>
                <w:szCs w:val="20"/>
              </w:rPr>
            </w:pPr>
            <w:r w:rsidRPr="00CE4D8A">
              <w:rPr>
                <w:rFonts w:cs="Gotham-Bold"/>
                <w:bCs/>
                <w:szCs w:val="20"/>
              </w:rPr>
              <w:t xml:space="preserve">   subtraction</w:t>
            </w:r>
          </w:p>
          <w:p w14:paraId="4EDD77E2" w14:textId="77777777" w:rsidR="00802B24" w:rsidRPr="00CE4D8A" w:rsidRDefault="00802B24" w:rsidP="00802B24">
            <w:pPr>
              <w:tabs>
                <w:tab w:val="left" w:pos="912"/>
              </w:tabs>
              <w:autoSpaceDE w:val="0"/>
              <w:autoSpaceDN w:val="0"/>
              <w:adjustRightInd w:val="0"/>
              <w:ind w:left="912" w:hanging="900"/>
              <w:rPr>
                <w:rFonts w:cs="Gotham-Bold"/>
                <w:bCs/>
                <w:szCs w:val="20"/>
              </w:rPr>
            </w:pPr>
            <w:r w:rsidRPr="00CE4D8A">
              <w:rPr>
                <w:rFonts w:cs="Gotham-Bold"/>
                <w:bCs/>
                <w:szCs w:val="20"/>
              </w:rPr>
              <w:t>Understand and apply properties of operations and the</w:t>
            </w:r>
          </w:p>
          <w:p w14:paraId="214D0839" w14:textId="77777777" w:rsidR="00802B24" w:rsidRPr="00CE4D8A" w:rsidRDefault="00802B24" w:rsidP="00802B24">
            <w:pPr>
              <w:tabs>
                <w:tab w:val="left" w:pos="912"/>
              </w:tabs>
              <w:autoSpaceDE w:val="0"/>
              <w:autoSpaceDN w:val="0"/>
              <w:adjustRightInd w:val="0"/>
              <w:ind w:left="912" w:hanging="900"/>
              <w:rPr>
                <w:rFonts w:cs="Gotham-Bold"/>
                <w:bCs/>
                <w:szCs w:val="20"/>
              </w:rPr>
            </w:pPr>
            <w:r w:rsidRPr="00CE4D8A">
              <w:rPr>
                <w:rFonts w:cs="Gotham-Bold"/>
                <w:bCs/>
                <w:szCs w:val="20"/>
              </w:rPr>
              <w:t xml:space="preserve">   relationship between addition and subtraction</w:t>
            </w:r>
          </w:p>
          <w:p w14:paraId="2341347F" w14:textId="77777777" w:rsidR="00802B24" w:rsidRPr="00CE4D8A" w:rsidRDefault="00802B24" w:rsidP="00802B24">
            <w:pPr>
              <w:tabs>
                <w:tab w:val="left" w:pos="912"/>
              </w:tabs>
              <w:autoSpaceDE w:val="0"/>
              <w:autoSpaceDN w:val="0"/>
              <w:adjustRightInd w:val="0"/>
              <w:rPr>
                <w:rFonts w:cs="Gotham-Bold"/>
                <w:bCs/>
                <w:sz w:val="28"/>
                <w:szCs w:val="20"/>
              </w:rPr>
            </w:pPr>
            <w:r w:rsidRPr="00CE4D8A">
              <w:rPr>
                <w:rFonts w:cs="Gotham-Bold"/>
                <w:bCs/>
                <w:szCs w:val="18"/>
              </w:rPr>
              <w:t>Add and subtract within 20</w:t>
            </w:r>
          </w:p>
          <w:p w14:paraId="1787B20C" w14:textId="77777777" w:rsidR="00802B24" w:rsidRPr="00CE4D8A" w:rsidRDefault="00802B24" w:rsidP="00802B24">
            <w:pPr>
              <w:tabs>
                <w:tab w:val="left" w:pos="912"/>
              </w:tabs>
              <w:autoSpaceDE w:val="0"/>
              <w:autoSpaceDN w:val="0"/>
              <w:adjustRightInd w:val="0"/>
              <w:rPr>
                <w:rFonts w:cs="Gotham-Bold"/>
                <w:bCs/>
                <w:sz w:val="28"/>
                <w:szCs w:val="20"/>
              </w:rPr>
            </w:pPr>
            <w:r w:rsidRPr="00CE4D8A">
              <w:rPr>
                <w:rFonts w:cs="Gotham-Bold"/>
                <w:bCs/>
                <w:szCs w:val="18"/>
              </w:rPr>
              <w:t>Work with addition and subtraction equations</w:t>
            </w:r>
          </w:p>
          <w:p w14:paraId="4BC63BE4" w14:textId="77777777" w:rsidR="009D382D" w:rsidRPr="00CE4D8A" w:rsidRDefault="009D382D" w:rsidP="00802B24">
            <w:pPr>
              <w:tabs>
                <w:tab w:val="left" w:pos="2110"/>
              </w:tabs>
              <w:rPr>
                <w:sz w:val="20"/>
                <w:szCs w:val="20"/>
              </w:rPr>
            </w:pPr>
          </w:p>
        </w:tc>
      </w:tr>
      <w:tr w:rsidR="009D382D" w:rsidRPr="00F10047" w14:paraId="2B1C5057" w14:textId="77777777" w:rsidTr="009D382D">
        <w:trPr>
          <w:jc w:val="center"/>
        </w:trPr>
        <w:tc>
          <w:tcPr>
            <w:tcW w:w="4235" w:type="dxa"/>
            <w:gridSpan w:val="2"/>
            <w:shd w:val="clear" w:color="auto" w:fill="C0E8FF" w:themeFill="accent6" w:themeFillTint="33"/>
          </w:tcPr>
          <w:p w14:paraId="5642138C" w14:textId="77777777" w:rsidR="009D382D" w:rsidRPr="00F10047" w:rsidRDefault="009D382D" w:rsidP="00011CF6">
            <w:pPr>
              <w:pStyle w:val="Heading4"/>
              <w:outlineLvl w:val="3"/>
              <w:rPr>
                <w:rFonts w:cs="Verdana"/>
              </w:rPr>
            </w:pPr>
            <w:r w:rsidRPr="00F10047">
              <w:t>Structural Components</w:t>
            </w:r>
            <w:r>
              <w:t xml:space="preserve"> </w:t>
            </w:r>
            <w:r>
              <w:br/>
            </w:r>
            <w:r w:rsidRPr="009D5E51">
              <w:rPr>
                <w:b w:val="0"/>
                <w:sz w:val="22"/>
              </w:rPr>
              <w:t>(focusing lens)</w:t>
            </w:r>
          </w:p>
        </w:tc>
        <w:tc>
          <w:tcPr>
            <w:tcW w:w="9365" w:type="dxa"/>
            <w:gridSpan w:val="2"/>
            <w:shd w:val="clear" w:color="auto" w:fill="C0E8FF" w:themeFill="accent6" w:themeFillTint="33"/>
          </w:tcPr>
          <w:p w14:paraId="3FF4BDA6" w14:textId="77777777" w:rsidR="009D382D" w:rsidRPr="00F10047" w:rsidRDefault="009D382D" w:rsidP="00011CF6">
            <w:pPr>
              <w:pStyle w:val="Heading4"/>
              <w:outlineLvl w:val="3"/>
            </w:pPr>
            <w:r w:rsidRPr="00F10047">
              <w:t>Explanation</w:t>
            </w:r>
            <w:r>
              <w:t xml:space="preserve"> </w:t>
            </w:r>
            <w:r>
              <w:br/>
            </w:r>
            <w:r w:rsidRPr="009D5E51">
              <w:rPr>
                <w:b w:val="0"/>
                <w:sz w:val="22"/>
              </w:rPr>
              <w:t>(based on grade level and unit topic)</w:t>
            </w:r>
          </w:p>
        </w:tc>
      </w:tr>
      <w:tr w:rsidR="00912E05" w:rsidRPr="00F10047" w14:paraId="12DC7095" w14:textId="77777777" w:rsidTr="009D382D">
        <w:trPr>
          <w:jc w:val="center"/>
        </w:trPr>
        <w:tc>
          <w:tcPr>
            <w:tcW w:w="4235" w:type="dxa"/>
            <w:gridSpan w:val="2"/>
          </w:tcPr>
          <w:p w14:paraId="7842D492" w14:textId="77777777" w:rsidR="00912E05" w:rsidRPr="00CE4D8A" w:rsidRDefault="00912E05" w:rsidP="00912E05">
            <w:pPr>
              <w:rPr>
                <w:szCs w:val="22"/>
              </w:rPr>
            </w:pPr>
            <w:r w:rsidRPr="00CE4D8A">
              <w:rPr>
                <w:szCs w:val="22"/>
              </w:rPr>
              <w:t>Units and Unitizing</w:t>
            </w:r>
          </w:p>
        </w:tc>
        <w:tc>
          <w:tcPr>
            <w:tcW w:w="9365" w:type="dxa"/>
            <w:gridSpan w:val="2"/>
          </w:tcPr>
          <w:p w14:paraId="36E1E35E" w14:textId="598D7EAE" w:rsidR="00912E05" w:rsidRPr="00CE4D8A" w:rsidRDefault="00912E05" w:rsidP="00912E05">
            <w:pPr>
              <w:rPr>
                <w:color w:val="0070C0"/>
                <w:szCs w:val="22"/>
              </w:rPr>
            </w:pPr>
            <w:r w:rsidRPr="00300EB4">
              <w:rPr>
                <w:color w:val="007DC3" w:themeColor="accent6"/>
                <w:szCs w:val="22"/>
              </w:rPr>
              <w:t>The unit of one and ten is used to count both forward and backwards.</w:t>
            </w:r>
          </w:p>
        </w:tc>
      </w:tr>
      <w:tr w:rsidR="00912E05" w:rsidRPr="00F10047" w14:paraId="49A0007F" w14:textId="77777777" w:rsidTr="009D382D">
        <w:trPr>
          <w:jc w:val="center"/>
        </w:trPr>
        <w:tc>
          <w:tcPr>
            <w:tcW w:w="4235" w:type="dxa"/>
            <w:gridSpan w:val="2"/>
          </w:tcPr>
          <w:p w14:paraId="2DD7B908" w14:textId="77777777" w:rsidR="00912E05" w:rsidRPr="00CE4D8A" w:rsidRDefault="00912E05" w:rsidP="00912E05">
            <w:pPr>
              <w:rPr>
                <w:szCs w:val="22"/>
              </w:rPr>
            </w:pPr>
            <w:r w:rsidRPr="00CE4D8A">
              <w:rPr>
                <w:szCs w:val="22"/>
              </w:rPr>
              <w:t>Composing and Decomposing</w:t>
            </w:r>
          </w:p>
        </w:tc>
        <w:tc>
          <w:tcPr>
            <w:tcW w:w="9365" w:type="dxa"/>
            <w:gridSpan w:val="2"/>
          </w:tcPr>
          <w:p w14:paraId="47E22486" w14:textId="0AC90581" w:rsidR="00912E05" w:rsidRPr="00CE4D8A" w:rsidRDefault="00912E05" w:rsidP="00912E05">
            <w:pPr>
              <w:rPr>
                <w:color w:val="0070C0"/>
                <w:szCs w:val="22"/>
              </w:rPr>
            </w:pPr>
            <w:r w:rsidRPr="00300EB4">
              <w:rPr>
                <w:color w:val="007DC3" w:themeColor="accent6"/>
                <w:szCs w:val="22"/>
              </w:rPr>
              <w:t>The ability to put objects together and then break them apart while still retaining</w:t>
            </w:r>
            <w:r>
              <w:rPr>
                <w:color w:val="007DC3" w:themeColor="accent6"/>
                <w:szCs w:val="22"/>
              </w:rPr>
              <w:t xml:space="preserve"> numbers’ quantities and relative sizes</w:t>
            </w:r>
            <w:r w:rsidRPr="00300EB4">
              <w:rPr>
                <w:color w:val="007DC3" w:themeColor="accent6"/>
                <w:szCs w:val="22"/>
              </w:rPr>
              <w:t>.</w:t>
            </w:r>
          </w:p>
        </w:tc>
      </w:tr>
      <w:tr w:rsidR="00912E05" w:rsidRPr="00F10047" w14:paraId="3ED7BAB9" w14:textId="77777777" w:rsidTr="009D382D">
        <w:trPr>
          <w:jc w:val="center"/>
        </w:trPr>
        <w:tc>
          <w:tcPr>
            <w:tcW w:w="4235" w:type="dxa"/>
            <w:gridSpan w:val="2"/>
          </w:tcPr>
          <w:p w14:paraId="1A3FDD7C" w14:textId="77777777" w:rsidR="00912E05" w:rsidRPr="00CE4D8A" w:rsidRDefault="00912E05" w:rsidP="00912E05">
            <w:pPr>
              <w:rPr>
                <w:szCs w:val="22"/>
              </w:rPr>
            </w:pPr>
            <w:r w:rsidRPr="00CE4D8A">
              <w:rPr>
                <w:szCs w:val="22"/>
              </w:rPr>
              <w:t>Partitioning and Iterating</w:t>
            </w:r>
          </w:p>
        </w:tc>
        <w:tc>
          <w:tcPr>
            <w:tcW w:w="9365" w:type="dxa"/>
            <w:gridSpan w:val="2"/>
          </w:tcPr>
          <w:p w14:paraId="1F208D41" w14:textId="5566AE43" w:rsidR="00912E05" w:rsidRPr="00CE4D8A" w:rsidRDefault="00912E05" w:rsidP="00912E05">
            <w:pPr>
              <w:rPr>
                <w:color w:val="0070C0"/>
                <w:szCs w:val="22"/>
              </w:rPr>
            </w:pPr>
            <w:r w:rsidRPr="00300EB4">
              <w:rPr>
                <w:color w:val="007DC3" w:themeColor="accent6"/>
                <w:szCs w:val="22"/>
              </w:rPr>
              <w:t xml:space="preserve">The ability to copy a unit of the same size or measure over and over again or split it up into equivalent units. </w:t>
            </w:r>
          </w:p>
        </w:tc>
      </w:tr>
      <w:tr w:rsidR="00912E05" w:rsidRPr="00F10047" w14:paraId="2E681324" w14:textId="77777777" w:rsidTr="009D382D">
        <w:trPr>
          <w:jc w:val="center"/>
        </w:trPr>
        <w:tc>
          <w:tcPr>
            <w:tcW w:w="4235" w:type="dxa"/>
            <w:gridSpan w:val="2"/>
          </w:tcPr>
          <w:p w14:paraId="75232950" w14:textId="77777777" w:rsidR="00912E05" w:rsidRPr="00CE4D8A" w:rsidRDefault="00912E05" w:rsidP="00912E05">
            <w:pPr>
              <w:rPr>
                <w:szCs w:val="22"/>
              </w:rPr>
            </w:pPr>
            <w:r w:rsidRPr="00CE4D8A">
              <w:rPr>
                <w:szCs w:val="22"/>
              </w:rPr>
              <w:t>Equivalence and Relationships</w:t>
            </w:r>
          </w:p>
        </w:tc>
        <w:tc>
          <w:tcPr>
            <w:tcW w:w="9365" w:type="dxa"/>
            <w:gridSpan w:val="2"/>
          </w:tcPr>
          <w:p w14:paraId="60F4E7A8" w14:textId="0A8CD7A1" w:rsidR="00912E05" w:rsidRPr="00CE4D8A" w:rsidRDefault="00912E05" w:rsidP="00912E05">
            <w:pPr>
              <w:rPr>
                <w:color w:val="0070C0"/>
                <w:szCs w:val="22"/>
              </w:rPr>
            </w:pPr>
            <w:r w:rsidRPr="00300EB4">
              <w:rPr>
                <w:color w:val="007DC3" w:themeColor="accent6"/>
                <w:szCs w:val="22"/>
              </w:rPr>
              <w:t>Under</w:t>
            </w:r>
            <w:r>
              <w:rPr>
                <w:color w:val="007DC3" w:themeColor="accent6"/>
                <w:szCs w:val="22"/>
              </w:rPr>
              <w:t xml:space="preserve">standing how numbers or quantities are </w:t>
            </w:r>
            <w:r w:rsidRPr="00300EB4">
              <w:rPr>
                <w:color w:val="007DC3" w:themeColor="accent6"/>
                <w:szCs w:val="22"/>
              </w:rPr>
              <w:t xml:space="preserve">related to </w:t>
            </w:r>
            <w:r>
              <w:rPr>
                <w:color w:val="007DC3" w:themeColor="accent6"/>
                <w:szCs w:val="22"/>
              </w:rPr>
              <w:t>one an</w:t>
            </w:r>
            <w:r w:rsidRPr="00300EB4">
              <w:rPr>
                <w:color w:val="007DC3" w:themeColor="accent6"/>
                <w:szCs w:val="22"/>
              </w:rPr>
              <w:t>other</w:t>
            </w:r>
          </w:p>
        </w:tc>
      </w:tr>
      <w:tr w:rsidR="002525D8" w:rsidRPr="00F10047" w14:paraId="3F24AEFD" w14:textId="77777777" w:rsidTr="009D382D">
        <w:trPr>
          <w:jc w:val="center"/>
        </w:trPr>
        <w:tc>
          <w:tcPr>
            <w:tcW w:w="13600" w:type="dxa"/>
            <w:gridSpan w:val="4"/>
            <w:shd w:val="clear" w:color="auto" w:fill="C0E8FF" w:themeFill="accent6" w:themeFillTint="33"/>
          </w:tcPr>
          <w:p w14:paraId="67D70697" w14:textId="77777777" w:rsidR="002525D8" w:rsidRPr="00F10047" w:rsidRDefault="002525D8" w:rsidP="002525D8">
            <w:pPr>
              <w:pStyle w:val="Heading4"/>
              <w:outlineLvl w:val="3"/>
            </w:pPr>
            <w:r w:rsidRPr="00F10047">
              <w:t>Formative Assessment Questions, Tasks, or Examples</w:t>
            </w:r>
          </w:p>
        </w:tc>
      </w:tr>
      <w:tr w:rsidR="00912E05" w:rsidRPr="00F10047" w14:paraId="0418A746" w14:textId="77777777" w:rsidTr="009D382D">
        <w:trPr>
          <w:jc w:val="center"/>
        </w:trPr>
        <w:tc>
          <w:tcPr>
            <w:tcW w:w="2982" w:type="dxa"/>
            <w:shd w:val="clear" w:color="auto" w:fill="auto"/>
          </w:tcPr>
          <w:p w14:paraId="7D59FB78" w14:textId="77777777" w:rsidR="00912E05" w:rsidRPr="00677FC6" w:rsidRDefault="00912E05" w:rsidP="00912E05">
            <w:r w:rsidRPr="00677FC6">
              <w:t>Skill/Procedure/Rote</w:t>
            </w:r>
          </w:p>
        </w:tc>
        <w:tc>
          <w:tcPr>
            <w:tcW w:w="10618" w:type="dxa"/>
            <w:gridSpan w:val="3"/>
          </w:tcPr>
          <w:p w14:paraId="7D6FC8DD" w14:textId="49179CFD" w:rsidR="00912E05" w:rsidRDefault="00912E05" w:rsidP="00912E05">
            <w:pPr>
              <w:rPr>
                <w:color w:val="0070C0"/>
                <w:szCs w:val="22"/>
              </w:rPr>
            </w:pPr>
            <w:r>
              <w:rPr>
                <w:color w:val="0070C0"/>
                <w:szCs w:val="22"/>
              </w:rPr>
              <w:t>Write the number 25.</w:t>
            </w:r>
          </w:p>
          <w:p w14:paraId="4479AFB6" w14:textId="4A57C0EE" w:rsidR="00912E05" w:rsidRDefault="00464080" w:rsidP="00912E05">
            <w:pPr>
              <w:rPr>
                <w:color w:val="0070C0"/>
                <w:szCs w:val="22"/>
              </w:rPr>
            </w:pPr>
            <w:r>
              <w:rPr>
                <w:color w:val="0070C0"/>
                <w:szCs w:val="22"/>
              </w:rPr>
              <w:t>Show me the number 3</w:t>
            </w:r>
            <w:r w:rsidR="00912E05">
              <w:rPr>
                <w:color w:val="0070C0"/>
                <w:szCs w:val="22"/>
              </w:rPr>
              <w:t>8.</w:t>
            </w:r>
          </w:p>
          <w:p w14:paraId="61FA63CA" w14:textId="01DA33F0" w:rsidR="00912E05" w:rsidRDefault="00912E05" w:rsidP="00912E05">
            <w:pPr>
              <w:rPr>
                <w:color w:val="0070C0"/>
                <w:szCs w:val="22"/>
              </w:rPr>
            </w:pPr>
            <w:r>
              <w:rPr>
                <w:color w:val="0070C0"/>
                <w:szCs w:val="22"/>
              </w:rPr>
              <w:t xml:space="preserve">Count </w:t>
            </w:r>
            <w:r w:rsidR="00464080">
              <w:rPr>
                <w:color w:val="0070C0"/>
                <w:szCs w:val="22"/>
              </w:rPr>
              <w:t>to 32 starting at 1</w:t>
            </w:r>
            <w:r>
              <w:rPr>
                <w:color w:val="0070C0"/>
                <w:szCs w:val="22"/>
              </w:rPr>
              <w:t>0 and</w:t>
            </w:r>
            <w:r w:rsidR="00464080">
              <w:rPr>
                <w:color w:val="0070C0"/>
                <w:szCs w:val="22"/>
              </w:rPr>
              <w:t xml:space="preserve"> then count backwards from 32 to 20</w:t>
            </w:r>
            <w:r>
              <w:rPr>
                <w:color w:val="0070C0"/>
                <w:szCs w:val="22"/>
              </w:rPr>
              <w:t>.</w:t>
            </w:r>
          </w:p>
          <w:p w14:paraId="48FF4576" w14:textId="7C7F1CE8" w:rsidR="00912E05" w:rsidRPr="00912E05" w:rsidRDefault="00912E05" w:rsidP="00912E05">
            <w:pPr>
              <w:rPr>
                <w:color w:val="0070C0"/>
                <w:szCs w:val="22"/>
              </w:rPr>
            </w:pPr>
            <w:r>
              <w:rPr>
                <w:color w:val="0070C0"/>
                <w:szCs w:val="22"/>
              </w:rPr>
              <w:t>Wh</w:t>
            </w:r>
            <w:r w:rsidR="00464080">
              <w:rPr>
                <w:color w:val="0070C0"/>
                <w:szCs w:val="22"/>
              </w:rPr>
              <w:t>ich number is greater, 29 or 3</w:t>
            </w:r>
            <w:r>
              <w:rPr>
                <w:color w:val="0070C0"/>
                <w:szCs w:val="22"/>
              </w:rPr>
              <w:t>1?</w:t>
            </w:r>
          </w:p>
        </w:tc>
      </w:tr>
      <w:tr w:rsidR="00912E05" w:rsidRPr="00F10047" w14:paraId="23E158D7" w14:textId="77777777" w:rsidTr="009D382D">
        <w:trPr>
          <w:jc w:val="center"/>
        </w:trPr>
        <w:tc>
          <w:tcPr>
            <w:tcW w:w="2982" w:type="dxa"/>
            <w:shd w:val="clear" w:color="auto" w:fill="auto"/>
          </w:tcPr>
          <w:p w14:paraId="40D5CF05" w14:textId="77777777" w:rsidR="00912E05" w:rsidRPr="00677FC6" w:rsidRDefault="00912E05" w:rsidP="00912E05">
            <w:r>
              <w:t>Problem Solving</w:t>
            </w:r>
          </w:p>
        </w:tc>
        <w:tc>
          <w:tcPr>
            <w:tcW w:w="10618" w:type="dxa"/>
            <w:gridSpan w:val="3"/>
          </w:tcPr>
          <w:p w14:paraId="15A3CF21" w14:textId="2B6085C9" w:rsidR="00912E05" w:rsidRPr="00300EB4" w:rsidRDefault="00464080" w:rsidP="00912E05">
            <w:pPr>
              <w:rPr>
                <w:color w:val="0070C0"/>
                <w:szCs w:val="22"/>
              </w:rPr>
            </w:pPr>
            <w:r>
              <w:rPr>
                <w:color w:val="0070C0"/>
                <w:szCs w:val="22"/>
              </w:rPr>
              <w:t>Building</w:t>
            </w:r>
            <w:r w:rsidR="00807B52">
              <w:rPr>
                <w:color w:val="0070C0"/>
                <w:szCs w:val="22"/>
              </w:rPr>
              <w:t xml:space="preserve"> on</w:t>
            </w:r>
            <w:r>
              <w:rPr>
                <w:color w:val="0070C0"/>
                <w:szCs w:val="22"/>
              </w:rPr>
              <w:t xml:space="preserve"> previous learning of active problem types (e.g. joining and separating) students should solve part-whole and compare contextual problems.</w:t>
            </w:r>
          </w:p>
          <w:p w14:paraId="484DF04B" w14:textId="5F41431E" w:rsidR="00912E05" w:rsidRPr="00300EB4" w:rsidRDefault="00464080" w:rsidP="00912E05">
            <w:pPr>
              <w:rPr>
                <w:color w:val="0070C0"/>
                <w:szCs w:val="22"/>
              </w:rPr>
            </w:pPr>
            <w:r>
              <w:rPr>
                <w:color w:val="0070C0"/>
                <w:szCs w:val="22"/>
              </w:rPr>
              <w:lastRenderedPageBreak/>
              <w:t>E.g., 15</w:t>
            </w:r>
            <w:r w:rsidR="00912E05" w:rsidRPr="00300EB4">
              <w:rPr>
                <w:color w:val="0070C0"/>
                <w:szCs w:val="22"/>
              </w:rPr>
              <w:t xml:space="preserve"> bunnies sat on the grass. 7 </w:t>
            </w:r>
            <w:r>
              <w:rPr>
                <w:color w:val="0070C0"/>
                <w:szCs w:val="22"/>
              </w:rPr>
              <w:t>of the bunnies have spots and the rest do not</w:t>
            </w:r>
            <w:r w:rsidR="00912E05" w:rsidRPr="00300EB4">
              <w:rPr>
                <w:color w:val="0070C0"/>
                <w:szCs w:val="22"/>
              </w:rPr>
              <w:t xml:space="preserve">. How many bunnies </w:t>
            </w:r>
            <w:r>
              <w:rPr>
                <w:color w:val="0070C0"/>
                <w:szCs w:val="22"/>
              </w:rPr>
              <w:t>do not have spots</w:t>
            </w:r>
            <w:r w:rsidR="00912E05" w:rsidRPr="00300EB4">
              <w:rPr>
                <w:color w:val="0070C0"/>
                <w:szCs w:val="22"/>
              </w:rPr>
              <w:t>? (</w:t>
            </w:r>
            <w:r>
              <w:rPr>
                <w:color w:val="0070C0"/>
                <w:szCs w:val="22"/>
              </w:rPr>
              <w:t>Part Whole: Part Unknown</w:t>
            </w:r>
            <w:r w:rsidR="00912E05" w:rsidRPr="00300EB4">
              <w:rPr>
                <w:color w:val="0070C0"/>
                <w:szCs w:val="22"/>
              </w:rPr>
              <w:t>)</w:t>
            </w:r>
          </w:p>
          <w:p w14:paraId="6573BB32" w14:textId="39E5F0CB" w:rsidR="00912E05" w:rsidRPr="00CE4D8A" w:rsidRDefault="00912E05" w:rsidP="00464080">
            <w:pPr>
              <w:rPr>
                <w:color w:val="007DC3" w:themeColor="accent6"/>
                <w:szCs w:val="20"/>
              </w:rPr>
            </w:pPr>
            <w:r w:rsidRPr="00300EB4">
              <w:rPr>
                <w:color w:val="0070C0"/>
                <w:szCs w:val="22"/>
              </w:rPr>
              <w:t>E.g., 12 bu</w:t>
            </w:r>
            <w:r w:rsidR="00464080">
              <w:rPr>
                <w:color w:val="0070C0"/>
                <w:szCs w:val="22"/>
              </w:rPr>
              <w:t>nnies were sitting on the grass and 7 bunnies were in a cage. How many more bunnies are on the grass than in the cage? (Compare Difference Unknown)</w:t>
            </w:r>
          </w:p>
        </w:tc>
      </w:tr>
      <w:tr w:rsidR="00912E05" w:rsidRPr="00F10047" w14:paraId="2BD1F6E1" w14:textId="77777777" w:rsidTr="009D382D">
        <w:trPr>
          <w:jc w:val="center"/>
        </w:trPr>
        <w:tc>
          <w:tcPr>
            <w:tcW w:w="2982" w:type="dxa"/>
            <w:shd w:val="clear" w:color="auto" w:fill="auto"/>
          </w:tcPr>
          <w:p w14:paraId="1719E442" w14:textId="77777777" w:rsidR="00912E05" w:rsidRPr="00677FC6" w:rsidRDefault="00912E05" w:rsidP="00912E05">
            <w:r w:rsidRPr="00677FC6">
              <w:lastRenderedPageBreak/>
              <w:t>Conceptual</w:t>
            </w:r>
          </w:p>
        </w:tc>
        <w:tc>
          <w:tcPr>
            <w:tcW w:w="10618" w:type="dxa"/>
            <w:gridSpan w:val="3"/>
          </w:tcPr>
          <w:p w14:paraId="6303E689" w14:textId="77777777" w:rsidR="00912E05" w:rsidRPr="00300EB4" w:rsidRDefault="00912E05" w:rsidP="00912E05">
            <w:pPr>
              <w:rPr>
                <w:rFonts w:cs="Verdana"/>
                <w:color w:val="0070C0"/>
                <w:szCs w:val="22"/>
              </w:rPr>
            </w:pPr>
            <w:r w:rsidRPr="00300EB4">
              <w:rPr>
                <w:rFonts w:cs="Verdana"/>
                <w:color w:val="0070C0"/>
                <w:szCs w:val="22"/>
              </w:rPr>
              <w:t>How many tens do you need to make this number if you can only use tens and ones?</w:t>
            </w:r>
            <w:r>
              <w:rPr>
                <w:rFonts w:cs="Verdana"/>
                <w:color w:val="0070C0"/>
                <w:szCs w:val="22"/>
              </w:rPr>
              <w:t xml:space="preserve"> What is another way to use tens and ones to compose the number?</w:t>
            </w:r>
          </w:p>
          <w:p w14:paraId="57567BA3" w14:textId="5CE3CF8F" w:rsidR="00912E05" w:rsidRPr="00CE4D8A" w:rsidRDefault="00912E05" w:rsidP="00912E05">
            <w:pPr>
              <w:rPr>
                <w:color w:val="007DC3" w:themeColor="accent6"/>
                <w:szCs w:val="20"/>
              </w:rPr>
            </w:pPr>
            <w:r>
              <w:rPr>
                <w:rFonts w:cs="Verdana"/>
                <w:color w:val="0070C0"/>
                <w:szCs w:val="22"/>
              </w:rPr>
              <w:t>U</w:t>
            </w:r>
            <w:r w:rsidR="00464080">
              <w:rPr>
                <w:rFonts w:cs="Verdana"/>
                <w:color w:val="0070C0"/>
                <w:szCs w:val="22"/>
              </w:rPr>
              <w:t>se a model to show the sum of 18</w:t>
            </w:r>
            <w:r>
              <w:rPr>
                <w:rFonts w:cs="Verdana"/>
                <w:color w:val="0070C0"/>
                <w:szCs w:val="22"/>
              </w:rPr>
              <w:t xml:space="preserve"> </w:t>
            </w:r>
            <w:r w:rsidR="00464080">
              <w:rPr>
                <w:rFonts w:cs="Verdana"/>
                <w:color w:val="0070C0"/>
                <w:szCs w:val="22"/>
              </w:rPr>
              <w:t>+ 5</w:t>
            </w:r>
            <w:r>
              <w:rPr>
                <w:rFonts w:cs="Verdana"/>
                <w:color w:val="0070C0"/>
                <w:szCs w:val="22"/>
              </w:rPr>
              <w:t>.</w:t>
            </w:r>
          </w:p>
        </w:tc>
      </w:tr>
      <w:tr w:rsidR="00912E05" w:rsidRPr="00F10047" w14:paraId="0757E7F1" w14:textId="77777777" w:rsidTr="009D382D">
        <w:trPr>
          <w:jc w:val="center"/>
        </w:trPr>
        <w:tc>
          <w:tcPr>
            <w:tcW w:w="2982" w:type="dxa"/>
            <w:shd w:val="clear" w:color="auto" w:fill="auto"/>
          </w:tcPr>
          <w:p w14:paraId="30F8E756" w14:textId="77777777" w:rsidR="00912E05" w:rsidRPr="00677FC6" w:rsidRDefault="00912E05" w:rsidP="00912E05">
            <w:r w:rsidRPr="00677FC6">
              <w:t>Reasoning &amp; Justification</w:t>
            </w:r>
          </w:p>
        </w:tc>
        <w:tc>
          <w:tcPr>
            <w:tcW w:w="10618" w:type="dxa"/>
            <w:gridSpan w:val="3"/>
          </w:tcPr>
          <w:p w14:paraId="42671330" w14:textId="6E686F23" w:rsidR="00912E05" w:rsidRPr="00CE4D8A" w:rsidRDefault="00912E05" w:rsidP="00464080">
            <w:pPr>
              <w:rPr>
                <w:i/>
                <w:color w:val="007DC3" w:themeColor="accent6"/>
                <w:szCs w:val="20"/>
              </w:rPr>
            </w:pPr>
            <w:r>
              <w:rPr>
                <w:color w:val="0070C0"/>
                <w:szCs w:val="22"/>
              </w:rPr>
              <w:t xml:space="preserve">A student claims the </w:t>
            </w:r>
            <w:r w:rsidR="00464080">
              <w:rPr>
                <w:color w:val="0070C0"/>
                <w:szCs w:val="22"/>
              </w:rPr>
              <w:t>sum of 18 + 5 is 68. Use a model to show why this is incorrect and explain what the correct sum should be.</w:t>
            </w:r>
          </w:p>
        </w:tc>
      </w:tr>
      <w:tr w:rsidR="00912E05" w:rsidRPr="00F10047" w14:paraId="3BC41CB6" w14:textId="77777777" w:rsidTr="009D382D">
        <w:trPr>
          <w:jc w:val="center"/>
        </w:trPr>
        <w:tc>
          <w:tcPr>
            <w:tcW w:w="13600" w:type="dxa"/>
            <w:gridSpan w:val="4"/>
            <w:shd w:val="clear" w:color="auto" w:fill="C0E8FF" w:themeFill="accent6" w:themeFillTint="33"/>
          </w:tcPr>
          <w:p w14:paraId="5269B150" w14:textId="77777777" w:rsidR="00912E05" w:rsidRPr="00F10047" w:rsidRDefault="00912E05" w:rsidP="00912E05">
            <w:pPr>
              <w:pStyle w:val="Heading4"/>
              <w:outlineLvl w:val="3"/>
            </w:pPr>
            <w:r>
              <w:t>Models</w:t>
            </w:r>
          </w:p>
        </w:tc>
      </w:tr>
      <w:tr w:rsidR="00912E05" w:rsidRPr="00F10047" w14:paraId="6BD553B8" w14:textId="77777777" w:rsidTr="009D382D">
        <w:trPr>
          <w:jc w:val="center"/>
        </w:trPr>
        <w:tc>
          <w:tcPr>
            <w:tcW w:w="2982" w:type="dxa"/>
            <w:shd w:val="clear" w:color="auto" w:fill="auto"/>
          </w:tcPr>
          <w:p w14:paraId="6D8E3301" w14:textId="77777777" w:rsidR="00912E05" w:rsidRPr="00723859" w:rsidRDefault="00912E05" w:rsidP="00912E05">
            <w:r>
              <w:t>Enactive</w:t>
            </w:r>
          </w:p>
        </w:tc>
        <w:tc>
          <w:tcPr>
            <w:tcW w:w="10618" w:type="dxa"/>
            <w:gridSpan w:val="3"/>
          </w:tcPr>
          <w:p w14:paraId="034792BF" w14:textId="77777777" w:rsidR="00912E05" w:rsidRPr="00CE4D8A" w:rsidRDefault="00912E05" w:rsidP="00912E05">
            <w:pPr>
              <w:rPr>
                <w:color w:val="007DC3" w:themeColor="accent6"/>
                <w:szCs w:val="20"/>
              </w:rPr>
            </w:pPr>
            <w:r w:rsidRPr="00CE4D8A">
              <w:rPr>
                <w:color w:val="007DC3" w:themeColor="accent6"/>
                <w:szCs w:val="20"/>
              </w:rPr>
              <w:t>Cubes, manipulatives, ten frames, Rekenrek</w:t>
            </w:r>
          </w:p>
        </w:tc>
      </w:tr>
      <w:tr w:rsidR="00912E05" w:rsidRPr="00F10047" w14:paraId="7922D36B" w14:textId="77777777" w:rsidTr="009D382D">
        <w:trPr>
          <w:jc w:val="center"/>
        </w:trPr>
        <w:tc>
          <w:tcPr>
            <w:tcW w:w="2982" w:type="dxa"/>
            <w:shd w:val="clear" w:color="auto" w:fill="auto"/>
          </w:tcPr>
          <w:p w14:paraId="71F9ABBC" w14:textId="77777777" w:rsidR="00912E05" w:rsidRDefault="00912E05" w:rsidP="00912E05">
            <w:r>
              <w:t>Iconic</w:t>
            </w:r>
          </w:p>
        </w:tc>
        <w:tc>
          <w:tcPr>
            <w:tcW w:w="10618" w:type="dxa"/>
            <w:gridSpan w:val="3"/>
          </w:tcPr>
          <w:p w14:paraId="123E3FD0" w14:textId="77777777" w:rsidR="00912E05" w:rsidRPr="00CE4D8A" w:rsidRDefault="00912E05" w:rsidP="00912E05">
            <w:pPr>
              <w:rPr>
                <w:color w:val="007DC3" w:themeColor="accent6"/>
                <w:szCs w:val="20"/>
              </w:rPr>
            </w:pPr>
            <w:r w:rsidRPr="00CE4D8A">
              <w:rPr>
                <w:color w:val="007DC3" w:themeColor="accent6"/>
                <w:szCs w:val="20"/>
              </w:rPr>
              <w:t>Drawing of cubes, bar model, number line</w:t>
            </w:r>
          </w:p>
        </w:tc>
      </w:tr>
      <w:tr w:rsidR="00912E05" w:rsidRPr="00F10047" w14:paraId="3EDF4494" w14:textId="77777777" w:rsidTr="009D382D">
        <w:trPr>
          <w:jc w:val="center"/>
        </w:trPr>
        <w:tc>
          <w:tcPr>
            <w:tcW w:w="2982" w:type="dxa"/>
            <w:shd w:val="clear" w:color="auto" w:fill="auto"/>
          </w:tcPr>
          <w:p w14:paraId="4815AD4D" w14:textId="77777777" w:rsidR="00912E05" w:rsidRDefault="00912E05" w:rsidP="00912E05">
            <w:r>
              <w:t>Symbolic</w:t>
            </w:r>
          </w:p>
        </w:tc>
        <w:tc>
          <w:tcPr>
            <w:tcW w:w="10618" w:type="dxa"/>
            <w:gridSpan w:val="3"/>
          </w:tcPr>
          <w:p w14:paraId="02A63F83" w14:textId="77777777" w:rsidR="00912E05" w:rsidRPr="00CE4D8A" w:rsidRDefault="00912E05" w:rsidP="00912E05">
            <w:pPr>
              <w:rPr>
                <w:color w:val="007DC3" w:themeColor="accent6"/>
                <w:szCs w:val="20"/>
              </w:rPr>
            </w:pPr>
            <w:r w:rsidRPr="00CE4D8A">
              <w:rPr>
                <w:color w:val="007DC3" w:themeColor="accent6"/>
                <w:szCs w:val="20"/>
              </w:rPr>
              <w:t>Numbers, number sentences, tree diagram, 2-column t-chart</w:t>
            </w:r>
          </w:p>
        </w:tc>
      </w:tr>
      <w:tr w:rsidR="00912E05" w:rsidRPr="00F10047" w14:paraId="191A49F8" w14:textId="77777777" w:rsidTr="009D382D">
        <w:trPr>
          <w:jc w:val="center"/>
        </w:trPr>
        <w:tc>
          <w:tcPr>
            <w:tcW w:w="13600" w:type="dxa"/>
            <w:gridSpan w:val="4"/>
            <w:shd w:val="clear" w:color="auto" w:fill="C0E8FF" w:themeFill="accent6" w:themeFillTint="33"/>
          </w:tcPr>
          <w:p w14:paraId="1656C041" w14:textId="77777777" w:rsidR="00912E05" w:rsidRPr="001465A0" w:rsidRDefault="00912E05" w:rsidP="00912E05">
            <w:pPr>
              <w:pStyle w:val="Heading4"/>
              <w:outlineLvl w:val="3"/>
              <w:rPr>
                <w:highlight w:val="yellow"/>
              </w:rPr>
            </w:pPr>
            <w:r w:rsidRPr="00A6215D">
              <w:t xml:space="preserve">Vocabulary </w:t>
            </w:r>
          </w:p>
        </w:tc>
      </w:tr>
      <w:tr w:rsidR="00912E05" w:rsidRPr="00F10047" w14:paraId="1AF72C5F" w14:textId="77777777" w:rsidTr="009D382D">
        <w:trPr>
          <w:jc w:val="center"/>
        </w:trPr>
        <w:tc>
          <w:tcPr>
            <w:tcW w:w="2982" w:type="dxa"/>
            <w:shd w:val="clear" w:color="auto" w:fill="auto"/>
          </w:tcPr>
          <w:p w14:paraId="20946618" w14:textId="77777777" w:rsidR="00912E05" w:rsidRPr="00723859" w:rsidRDefault="00912E05" w:rsidP="00912E05">
            <w:r>
              <w:t>Domain Specific</w:t>
            </w:r>
          </w:p>
        </w:tc>
        <w:tc>
          <w:tcPr>
            <w:tcW w:w="10618" w:type="dxa"/>
            <w:gridSpan w:val="3"/>
          </w:tcPr>
          <w:p w14:paraId="781D66A1" w14:textId="77777777" w:rsidR="00912E05" w:rsidRPr="007C452A" w:rsidRDefault="00912E05" w:rsidP="00912E05">
            <w:pPr>
              <w:rPr>
                <w:color w:val="FF0000"/>
                <w:szCs w:val="20"/>
              </w:rPr>
            </w:pPr>
            <w:r>
              <w:rPr>
                <w:color w:val="0070C0"/>
                <w:szCs w:val="20"/>
              </w:rPr>
              <w:t>Count, forward, backwards, more, less, add, subtract, bar model, number line,</w:t>
            </w:r>
            <w:r w:rsidRPr="007D7633">
              <w:rPr>
                <w:color w:val="0070C0"/>
                <w:szCs w:val="20"/>
              </w:rPr>
              <w:t xml:space="preserve"> digit, </w:t>
            </w:r>
            <w:r>
              <w:rPr>
                <w:color w:val="0070C0"/>
                <w:szCs w:val="20"/>
              </w:rPr>
              <w:t xml:space="preserve">decompose, and compose </w:t>
            </w:r>
          </w:p>
        </w:tc>
      </w:tr>
      <w:tr w:rsidR="00912E05" w:rsidRPr="00F10047" w14:paraId="5B20B6C5" w14:textId="77777777" w:rsidTr="009D382D">
        <w:trPr>
          <w:jc w:val="center"/>
        </w:trPr>
        <w:tc>
          <w:tcPr>
            <w:tcW w:w="2982" w:type="dxa"/>
            <w:shd w:val="clear" w:color="auto" w:fill="auto"/>
          </w:tcPr>
          <w:p w14:paraId="176DF1FC" w14:textId="77777777" w:rsidR="00912E05" w:rsidRDefault="00912E05" w:rsidP="00912E05">
            <w:r>
              <w:t>General</w:t>
            </w:r>
          </w:p>
        </w:tc>
        <w:tc>
          <w:tcPr>
            <w:tcW w:w="10618" w:type="dxa"/>
            <w:gridSpan w:val="3"/>
          </w:tcPr>
          <w:p w14:paraId="6FE9103C" w14:textId="77777777" w:rsidR="00912E05" w:rsidRPr="007D7633" w:rsidRDefault="00912E05" w:rsidP="00912E05">
            <w:pPr>
              <w:rPr>
                <w:color w:val="0070C0"/>
                <w:szCs w:val="20"/>
              </w:rPr>
            </w:pPr>
            <w:r>
              <w:rPr>
                <w:color w:val="0070C0"/>
                <w:szCs w:val="20"/>
              </w:rPr>
              <w:t>E</w:t>
            </w:r>
            <w:r w:rsidRPr="007D7633">
              <w:rPr>
                <w:color w:val="0070C0"/>
                <w:szCs w:val="20"/>
              </w:rPr>
              <w:t>qual (same as), less than, greater</w:t>
            </w:r>
            <w:r>
              <w:rPr>
                <w:color w:val="0070C0"/>
                <w:szCs w:val="20"/>
              </w:rPr>
              <w:t xml:space="preserve"> than, place value, units of ones and tens, groups, compare</w:t>
            </w:r>
          </w:p>
        </w:tc>
      </w:tr>
      <w:tr w:rsidR="00912E05" w:rsidRPr="00F10047" w14:paraId="436AF0A4" w14:textId="77777777" w:rsidTr="009D382D">
        <w:trPr>
          <w:jc w:val="center"/>
        </w:trPr>
        <w:tc>
          <w:tcPr>
            <w:tcW w:w="13600" w:type="dxa"/>
            <w:gridSpan w:val="4"/>
            <w:shd w:val="clear" w:color="auto" w:fill="C0E8FF" w:themeFill="accent6" w:themeFillTint="33"/>
          </w:tcPr>
          <w:p w14:paraId="11108FD7" w14:textId="77777777" w:rsidR="00912E05" w:rsidRPr="0088747F" w:rsidRDefault="00912E05" w:rsidP="00912E05">
            <w:pPr>
              <w:pStyle w:val="Heading4"/>
              <w:outlineLvl w:val="3"/>
            </w:pPr>
            <w:r>
              <w:t xml:space="preserve">Inclusion Topics </w:t>
            </w:r>
          </w:p>
        </w:tc>
      </w:tr>
      <w:tr w:rsidR="00912E05" w:rsidRPr="00F10047" w14:paraId="30CE7D87" w14:textId="77777777" w:rsidTr="009D382D">
        <w:trPr>
          <w:jc w:val="center"/>
        </w:trPr>
        <w:tc>
          <w:tcPr>
            <w:tcW w:w="2982" w:type="dxa"/>
            <w:shd w:val="clear" w:color="auto" w:fill="auto"/>
          </w:tcPr>
          <w:p w14:paraId="789E8CA1" w14:textId="77777777" w:rsidR="00912E05" w:rsidRPr="00723859" w:rsidRDefault="00912E05" w:rsidP="00912E05">
            <w:r>
              <w:t>Data Analysis</w:t>
            </w:r>
          </w:p>
        </w:tc>
        <w:tc>
          <w:tcPr>
            <w:tcW w:w="10618" w:type="dxa"/>
            <w:gridSpan w:val="3"/>
          </w:tcPr>
          <w:p w14:paraId="75860082" w14:textId="77777777" w:rsidR="00912E05" w:rsidRPr="00B80ED7" w:rsidRDefault="00912E05" w:rsidP="00912E05">
            <w:pPr>
              <w:rPr>
                <w:rFonts w:cs="Verdana"/>
                <w:color w:val="007DC3" w:themeColor="accent6"/>
                <w:szCs w:val="20"/>
              </w:rPr>
            </w:pPr>
            <w:r w:rsidRPr="00B80ED7">
              <w:rPr>
                <w:rFonts w:cs="Verdana"/>
                <w:color w:val="007DC3" w:themeColor="accent6"/>
                <w:szCs w:val="20"/>
              </w:rPr>
              <w:t>Create a bar graph representing the different types of shoes (buckles, ties, neither)</w:t>
            </w:r>
          </w:p>
        </w:tc>
      </w:tr>
      <w:tr w:rsidR="00912E05" w:rsidRPr="00F10047" w14:paraId="48ECC477" w14:textId="77777777" w:rsidTr="009D382D">
        <w:trPr>
          <w:jc w:val="center"/>
        </w:trPr>
        <w:tc>
          <w:tcPr>
            <w:tcW w:w="2982" w:type="dxa"/>
            <w:shd w:val="clear" w:color="auto" w:fill="auto"/>
          </w:tcPr>
          <w:p w14:paraId="7CB27915" w14:textId="77777777" w:rsidR="00912E05" w:rsidRDefault="00912E05" w:rsidP="00912E05">
            <w:r>
              <w:t>Patterns</w:t>
            </w:r>
          </w:p>
        </w:tc>
        <w:tc>
          <w:tcPr>
            <w:tcW w:w="10618" w:type="dxa"/>
            <w:gridSpan w:val="3"/>
          </w:tcPr>
          <w:p w14:paraId="65DC210C" w14:textId="2CD6A0F3" w:rsidR="00912E05" w:rsidRPr="00B80ED7" w:rsidRDefault="00912E05" w:rsidP="00912E05">
            <w:pPr>
              <w:rPr>
                <w:color w:val="007DC3" w:themeColor="accent6"/>
                <w:sz w:val="20"/>
                <w:szCs w:val="20"/>
              </w:rPr>
            </w:pPr>
            <w:r w:rsidRPr="00B80ED7">
              <w:rPr>
                <w:rFonts w:cs="Verdana"/>
                <w:color w:val="007DC3" w:themeColor="accent6"/>
                <w:szCs w:val="20"/>
              </w:rPr>
              <w:t>Counting forwards and backwards</w:t>
            </w:r>
            <w:r w:rsidRPr="00B80ED7">
              <w:rPr>
                <w:color w:val="007DC3" w:themeColor="accent6"/>
                <w:sz w:val="20"/>
                <w:szCs w:val="20"/>
              </w:rPr>
              <w:t xml:space="preserve"> </w:t>
            </w:r>
          </w:p>
        </w:tc>
      </w:tr>
      <w:tr w:rsidR="00912E05" w:rsidRPr="00F10047" w14:paraId="41B05DA0" w14:textId="77777777" w:rsidTr="009D382D">
        <w:trPr>
          <w:jc w:val="center"/>
        </w:trPr>
        <w:tc>
          <w:tcPr>
            <w:tcW w:w="2982" w:type="dxa"/>
            <w:shd w:val="clear" w:color="auto" w:fill="auto"/>
          </w:tcPr>
          <w:p w14:paraId="3E39F3C7" w14:textId="77777777" w:rsidR="00912E05" w:rsidRDefault="00912E05" w:rsidP="00912E05">
            <w:r>
              <w:t>Fluency Development</w:t>
            </w:r>
          </w:p>
        </w:tc>
        <w:tc>
          <w:tcPr>
            <w:tcW w:w="10618" w:type="dxa"/>
            <w:gridSpan w:val="3"/>
          </w:tcPr>
          <w:p w14:paraId="1A418C9A" w14:textId="77777777" w:rsidR="00912E05" w:rsidRDefault="00912E05" w:rsidP="00912E05">
            <w:pPr>
              <w:rPr>
                <w:rFonts w:cs="Verdana"/>
                <w:color w:val="007DC3" w:themeColor="accent6"/>
                <w:szCs w:val="20"/>
              </w:rPr>
            </w:pPr>
            <w:r w:rsidRPr="00B80ED7">
              <w:rPr>
                <w:rFonts w:cs="Verdana"/>
                <w:color w:val="007DC3" w:themeColor="accent6"/>
                <w:szCs w:val="20"/>
              </w:rPr>
              <w:t>Students should see smaller numbers within larger numbers (visually), e.g., 6 is made up of a 3 and 3 or a 2, 2, and 2.</w:t>
            </w:r>
          </w:p>
          <w:p w14:paraId="5049FE5F" w14:textId="36E855EC" w:rsidR="00D56C69" w:rsidRPr="00B80ED7" w:rsidRDefault="00D56C69" w:rsidP="00912E05">
            <w:pPr>
              <w:rPr>
                <w:rFonts w:cs="Verdana"/>
                <w:color w:val="007DC3" w:themeColor="accent6"/>
                <w:szCs w:val="20"/>
              </w:rPr>
            </w:pPr>
            <w:r>
              <w:rPr>
                <w:rFonts w:cs="Verdana"/>
                <w:color w:val="007DC3" w:themeColor="accent6"/>
                <w:szCs w:val="20"/>
              </w:rPr>
              <w:t xml:space="preserve">Basic fact fluency can be developed with a focus on </w:t>
            </w:r>
            <w:r w:rsidR="00A8790D">
              <w:rPr>
                <w:rFonts w:cs="Verdana"/>
                <w:color w:val="007DC3" w:themeColor="accent6"/>
                <w:szCs w:val="20"/>
              </w:rPr>
              <w:t>flexibility</w:t>
            </w:r>
            <w:r>
              <w:rPr>
                <w:rFonts w:cs="Verdana"/>
                <w:color w:val="007DC3" w:themeColor="accent6"/>
                <w:szCs w:val="20"/>
              </w:rPr>
              <w:t xml:space="preserve"> and number relationships, particularly using doubles and make 10 combinations (e.g. 5 + 6 = 5 + 5 + 1 or 6 + 6 – 1).</w:t>
            </w:r>
          </w:p>
        </w:tc>
      </w:tr>
    </w:tbl>
    <w:p w14:paraId="6E488435" w14:textId="77777777" w:rsidR="00CE4D8A" w:rsidRDefault="00CE4D8A" w:rsidP="00CE4D8A">
      <w:pPr>
        <w:pStyle w:val="Heading6"/>
        <w:ind w:left="0"/>
      </w:pPr>
    </w:p>
    <w:p w14:paraId="2A4B0699" w14:textId="77777777" w:rsidR="00CE4D8A" w:rsidRDefault="00CE4D8A">
      <w:pPr>
        <w:rPr>
          <w:b/>
          <w:color w:val="06357A" w:themeColor="accent1"/>
          <w:sz w:val="32"/>
          <w:szCs w:val="28"/>
        </w:rPr>
      </w:pPr>
      <w:r>
        <w:br w:type="page"/>
      </w:r>
    </w:p>
    <w:p w14:paraId="194E89AF" w14:textId="09FA243F" w:rsidR="009D382D" w:rsidRDefault="00D56C69" w:rsidP="00CE4D8A">
      <w:pPr>
        <w:pStyle w:val="Heading6"/>
        <w:ind w:left="0"/>
        <w:rPr>
          <w:noProof/>
        </w:rPr>
      </w:pPr>
      <w:r>
        <w:rPr>
          <w:noProof/>
        </w:rPr>
        <w:lastRenderedPageBreak/>
        <w:drawing>
          <wp:anchor distT="0" distB="0" distL="114300" distR="114300" simplePos="0" relativeHeight="251659264" behindDoc="1" locked="0" layoutInCell="1" allowOverlap="1" wp14:anchorId="699C9082" wp14:editId="1BB6FF98">
            <wp:simplePos x="0" y="0"/>
            <wp:positionH relativeFrom="column">
              <wp:posOffset>6343650</wp:posOffset>
            </wp:positionH>
            <wp:positionV relativeFrom="paragraph">
              <wp:posOffset>190500</wp:posOffset>
            </wp:positionV>
            <wp:extent cx="2731770" cy="2136775"/>
            <wp:effectExtent l="0" t="0" r="0" b="0"/>
            <wp:wrapTight wrapText="bothSides">
              <wp:wrapPolygon edited="0">
                <wp:start x="0" y="0"/>
                <wp:lineTo x="0" y="21375"/>
                <wp:lineTo x="21389" y="21375"/>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1770" cy="2136775"/>
                    </a:xfrm>
                    <a:prstGeom prst="rect">
                      <a:avLst/>
                    </a:prstGeom>
                    <a:noFill/>
                  </pic:spPr>
                </pic:pic>
              </a:graphicData>
            </a:graphic>
            <wp14:sizeRelH relativeFrom="page">
              <wp14:pctWidth>0</wp14:pctWidth>
            </wp14:sizeRelH>
            <wp14:sizeRelV relativeFrom="page">
              <wp14:pctHeight>0</wp14:pctHeight>
            </wp14:sizeRelV>
          </wp:anchor>
        </w:drawing>
      </w:r>
      <w:r w:rsidR="009D382D">
        <w:t xml:space="preserve">Description of Key </w:t>
      </w:r>
      <w:r w:rsidR="009D382D" w:rsidRPr="003D0E70">
        <w:t>Ideas</w:t>
      </w:r>
      <w:r w:rsidR="009D382D">
        <w:t xml:space="preserve"> for Learning Goals  </w:t>
      </w:r>
      <w:r w:rsidR="009D382D" w:rsidRPr="00FE5C95">
        <w:rPr>
          <w:noProof/>
        </w:rPr>
        <w:t xml:space="preserve"> </w:t>
      </w:r>
    </w:p>
    <w:p w14:paraId="7504ACCD" w14:textId="78D4BD33" w:rsidR="0094108D" w:rsidRDefault="00D56C69" w:rsidP="0094108D">
      <w:pPr>
        <w:rPr>
          <w:szCs w:val="20"/>
        </w:rPr>
      </w:pPr>
      <w:r>
        <w:rPr>
          <w:szCs w:val="20"/>
        </w:rPr>
        <w:t xml:space="preserve">There are four units in Grade 1 </w:t>
      </w:r>
      <w:r w:rsidR="0094108D">
        <w:rPr>
          <w:szCs w:val="20"/>
        </w:rPr>
        <w:t>that focus on number, counting, number operations, and place value. Each unit builds specific skills within the topic of number. In this second unit on number the focus is on adding and subtracting using part-whole and compare prob</w:t>
      </w:r>
      <w:r>
        <w:rPr>
          <w:szCs w:val="20"/>
        </w:rPr>
        <w:t>lem types (with numbers at least up to 20</w:t>
      </w:r>
      <w:r w:rsidR="0094108D">
        <w:rPr>
          <w:szCs w:val="20"/>
        </w:rPr>
        <w:t>); representing the different situations using enactive iconic and symbolic models; and applying the commutative and associate properties. The key ideas for this unit are:</w:t>
      </w:r>
      <w:r w:rsidR="0094108D" w:rsidRPr="00E66228">
        <w:rPr>
          <w:noProof/>
        </w:rPr>
        <w:t xml:space="preserve"> </w:t>
      </w:r>
    </w:p>
    <w:p w14:paraId="4F663772" w14:textId="77777777" w:rsidR="0094108D" w:rsidRDefault="0094108D" w:rsidP="0094108D">
      <w:pPr>
        <w:pStyle w:val="ListParagraph"/>
        <w:numPr>
          <w:ilvl w:val="0"/>
          <w:numId w:val="11"/>
        </w:numPr>
        <w:rPr>
          <w:szCs w:val="20"/>
        </w:rPr>
      </w:pPr>
      <w:r>
        <w:rPr>
          <w:szCs w:val="20"/>
        </w:rPr>
        <w:t xml:space="preserve">The quantity one is the unit size of one or a measure of one. </w:t>
      </w:r>
    </w:p>
    <w:p w14:paraId="1F69FDBD" w14:textId="77777777" w:rsidR="0094108D" w:rsidRDefault="0094108D" w:rsidP="0094108D">
      <w:pPr>
        <w:pStyle w:val="ListParagraph"/>
        <w:numPr>
          <w:ilvl w:val="0"/>
          <w:numId w:val="11"/>
        </w:numPr>
        <w:rPr>
          <w:szCs w:val="20"/>
        </w:rPr>
      </w:pPr>
      <w:r>
        <w:rPr>
          <w:szCs w:val="20"/>
        </w:rPr>
        <w:t xml:space="preserve">The quantity ten is its own unit, which is composed of ten units of size one. </w:t>
      </w:r>
    </w:p>
    <w:p w14:paraId="4037EFA9" w14:textId="573E52C5" w:rsidR="0094108D" w:rsidRDefault="0094108D" w:rsidP="0094108D">
      <w:pPr>
        <w:pStyle w:val="ListParagraph"/>
        <w:numPr>
          <w:ilvl w:val="0"/>
          <w:numId w:val="11"/>
        </w:numPr>
        <w:rPr>
          <w:szCs w:val="20"/>
        </w:rPr>
      </w:pPr>
      <w:r>
        <w:rPr>
          <w:szCs w:val="20"/>
        </w:rPr>
        <w:t>Students count numbers forward and backwards, counting each object one time in sequence (one-to-one to correspondence)</w:t>
      </w:r>
    </w:p>
    <w:p w14:paraId="3CF2027B" w14:textId="4308D99E" w:rsidR="0094108D" w:rsidRDefault="0094108D" w:rsidP="0094108D">
      <w:pPr>
        <w:pStyle w:val="ListParagraph"/>
        <w:numPr>
          <w:ilvl w:val="0"/>
          <w:numId w:val="11"/>
        </w:numPr>
        <w:rPr>
          <w:szCs w:val="20"/>
        </w:rPr>
      </w:pPr>
      <w:r>
        <w:rPr>
          <w:szCs w:val="20"/>
        </w:rPr>
        <w:t xml:space="preserve">Commutative property: the sum of adding two numbers is </w:t>
      </w:r>
      <w:r w:rsidR="00D56C69">
        <w:rPr>
          <w:szCs w:val="20"/>
        </w:rPr>
        <w:t>the same no matter the order, a</w:t>
      </w:r>
      <w:r>
        <w:rPr>
          <w:szCs w:val="20"/>
        </w:rPr>
        <w:t xml:space="preserve"> + b = b + a</w:t>
      </w:r>
    </w:p>
    <w:p w14:paraId="2B560B97" w14:textId="77777777" w:rsidR="0094108D" w:rsidRDefault="0094108D" w:rsidP="0094108D">
      <w:pPr>
        <w:pStyle w:val="ListParagraph"/>
        <w:numPr>
          <w:ilvl w:val="0"/>
          <w:numId w:val="11"/>
        </w:numPr>
        <w:rPr>
          <w:szCs w:val="20"/>
        </w:rPr>
      </w:pPr>
      <w:r>
        <w:rPr>
          <w:szCs w:val="20"/>
        </w:rPr>
        <w:t>Associative property: the sum of adding three or more numbers is the same no matter the grouping or ordering of any two addends, (a + b) + c = a + (b + c)</w:t>
      </w:r>
    </w:p>
    <w:p w14:paraId="1F0770B5" w14:textId="13E455A9" w:rsidR="0094108D" w:rsidRDefault="0094108D" w:rsidP="0094108D">
      <w:pPr>
        <w:pStyle w:val="ListParagraph"/>
        <w:numPr>
          <w:ilvl w:val="0"/>
          <w:numId w:val="11"/>
        </w:numPr>
        <w:rPr>
          <w:szCs w:val="20"/>
        </w:rPr>
      </w:pPr>
      <w:r>
        <w:rPr>
          <w:szCs w:val="20"/>
        </w:rPr>
        <w:t>Equivalence: The equal sign is used to represent two equal amounts and the quantities on both sides represent “the same” amount. For instance, 3 + 4 represents the same amount as 5 + 2</w:t>
      </w:r>
      <w:r w:rsidR="00D56C69">
        <w:rPr>
          <w:szCs w:val="20"/>
        </w:rPr>
        <w:t xml:space="preserve"> even though the sum of 7 is composed differently</w:t>
      </w:r>
      <w:r>
        <w:rPr>
          <w:szCs w:val="20"/>
        </w:rPr>
        <w:t xml:space="preserve">. </w:t>
      </w:r>
    </w:p>
    <w:p w14:paraId="7B7B82DA" w14:textId="77777777" w:rsidR="009D382D" w:rsidRDefault="009D382D" w:rsidP="009D382D">
      <w:pPr>
        <w:spacing w:after="60"/>
        <w:ind w:left="360" w:right="360"/>
      </w:pPr>
      <w:r>
        <w:t xml:space="preserve"> </w:t>
      </w:r>
    </w:p>
    <w:p w14:paraId="4C57E0C0" w14:textId="3445E46A" w:rsidR="009D382D" w:rsidRPr="007C3DE0" w:rsidRDefault="009D382D" w:rsidP="009D382D">
      <w:pPr>
        <w:pStyle w:val="Heading6"/>
      </w:pPr>
      <w:r w:rsidRPr="007C3DE0">
        <w:t>Examples of Models</w:t>
      </w:r>
      <w:r>
        <w:t xml:space="preserve"> and Situations </w:t>
      </w:r>
    </w:p>
    <w:p w14:paraId="625613D1" w14:textId="67A85C43" w:rsidR="009D382D" w:rsidRDefault="009D382D" w:rsidP="009D382D">
      <w:pPr>
        <w:ind w:left="360"/>
        <w:rPr>
          <w:i/>
          <w:sz w:val="26"/>
          <w:szCs w:val="26"/>
        </w:rPr>
      </w:pPr>
      <w:r w:rsidRPr="00B547C6">
        <w:rPr>
          <w:b/>
          <w:sz w:val="26"/>
          <w:szCs w:val="26"/>
        </w:rPr>
        <w:t>Situation</w:t>
      </w:r>
      <w:r w:rsidR="00393482">
        <w:rPr>
          <w:b/>
          <w:sz w:val="26"/>
          <w:szCs w:val="26"/>
        </w:rPr>
        <w:t>s</w:t>
      </w:r>
      <w:r w:rsidRPr="00B547C6">
        <w:rPr>
          <w:b/>
          <w:sz w:val="26"/>
          <w:szCs w:val="26"/>
        </w:rPr>
        <w:t>:</w:t>
      </w:r>
      <w:r w:rsidRPr="00B547C6">
        <w:rPr>
          <w:sz w:val="26"/>
          <w:szCs w:val="26"/>
        </w:rPr>
        <w:t xml:space="preserve"> </w:t>
      </w:r>
    </w:p>
    <w:p w14:paraId="207EBF83" w14:textId="53A63881" w:rsidR="00F32FE1" w:rsidRPr="001F686F" w:rsidRDefault="00F32FE1" w:rsidP="001F686F">
      <w:pPr>
        <w:pStyle w:val="ListParagraph"/>
        <w:numPr>
          <w:ilvl w:val="0"/>
          <w:numId w:val="12"/>
        </w:numPr>
        <w:rPr>
          <w:szCs w:val="20"/>
        </w:rPr>
      </w:pPr>
      <w:r w:rsidRPr="001F686F">
        <w:rPr>
          <w:szCs w:val="20"/>
        </w:rPr>
        <w:t xml:space="preserve">Jack </w:t>
      </w:r>
      <w:r w:rsidR="001F686F" w:rsidRPr="001F686F">
        <w:rPr>
          <w:szCs w:val="20"/>
        </w:rPr>
        <w:t>collected 13 toy cars. If 8</w:t>
      </w:r>
      <w:r w:rsidR="00393482" w:rsidRPr="001F686F">
        <w:rPr>
          <w:szCs w:val="20"/>
        </w:rPr>
        <w:t xml:space="preserve"> of the cars were </w:t>
      </w:r>
      <w:r w:rsidR="001F686F" w:rsidRPr="001F686F">
        <w:rPr>
          <w:szCs w:val="20"/>
        </w:rPr>
        <w:t>black</w:t>
      </w:r>
      <w:r w:rsidR="00393482" w:rsidRPr="001F686F">
        <w:rPr>
          <w:szCs w:val="20"/>
        </w:rPr>
        <w:t xml:space="preserve"> and the rest were </w:t>
      </w:r>
      <w:r w:rsidR="001F686F" w:rsidRPr="001F686F">
        <w:rPr>
          <w:szCs w:val="20"/>
        </w:rPr>
        <w:t>red</w:t>
      </w:r>
      <w:r w:rsidR="00393482" w:rsidRPr="001F686F">
        <w:rPr>
          <w:szCs w:val="20"/>
        </w:rPr>
        <w:t xml:space="preserve">, how many cars were </w:t>
      </w:r>
      <w:r w:rsidR="001F686F" w:rsidRPr="001F686F">
        <w:rPr>
          <w:szCs w:val="20"/>
        </w:rPr>
        <w:t>red</w:t>
      </w:r>
      <w:r w:rsidR="00393482" w:rsidRPr="001F686F">
        <w:rPr>
          <w:szCs w:val="20"/>
        </w:rPr>
        <w:t>? (Part Whole: Part Unknown) [Problem Solving]</w:t>
      </w:r>
    </w:p>
    <w:p w14:paraId="3C0C5F30" w14:textId="670778D4" w:rsidR="00393482" w:rsidRDefault="00393482" w:rsidP="00D56C69">
      <w:pPr>
        <w:ind w:left="360"/>
        <w:rPr>
          <w:szCs w:val="20"/>
        </w:rPr>
      </w:pPr>
    </w:p>
    <w:p w14:paraId="3985D67D" w14:textId="33CB7049" w:rsidR="00F32FE1" w:rsidRPr="001F686F" w:rsidRDefault="001F686F" w:rsidP="001F686F">
      <w:pPr>
        <w:pStyle w:val="ListParagraph"/>
        <w:numPr>
          <w:ilvl w:val="0"/>
          <w:numId w:val="12"/>
        </w:numPr>
        <w:rPr>
          <w:szCs w:val="20"/>
        </w:rPr>
      </w:pPr>
      <w:r w:rsidRPr="001F686F">
        <w:rPr>
          <w:szCs w:val="20"/>
        </w:rPr>
        <w:t>Jack collected 13 toy cars. Dan collected 8</w:t>
      </w:r>
      <w:r w:rsidR="00393482" w:rsidRPr="001F686F">
        <w:rPr>
          <w:szCs w:val="20"/>
        </w:rPr>
        <w:t xml:space="preserve"> toy cars. How many more cars does Jack have than Dan? (Compare Difference Unknown) [Problem Solving]</w:t>
      </w:r>
    </w:p>
    <w:p w14:paraId="5E824157" w14:textId="69E2022F" w:rsidR="009D382D" w:rsidRPr="00E031CA" w:rsidRDefault="009D382D" w:rsidP="00CE4D8A">
      <w:pPr>
        <w:pStyle w:val="Heading7"/>
        <w:ind w:left="0"/>
      </w:pPr>
      <w:r w:rsidRPr="00E031CA">
        <w:t>Enactive Model example</w:t>
      </w:r>
    </w:p>
    <w:p w14:paraId="0C087171" w14:textId="77777777" w:rsidR="00F17D30" w:rsidRDefault="00393482" w:rsidP="00CE4D8A">
      <w:pPr>
        <w:ind w:left="360"/>
        <w:rPr>
          <w:szCs w:val="20"/>
        </w:rPr>
      </w:pPr>
      <w:r>
        <w:rPr>
          <w:szCs w:val="20"/>
        </w:rPr>
        <w:t>Modeling the situations with cubes or counters.</w:t>
      </w:r>
      <w:r w:rsidR="001F686F">
        <w:rPr>
          <w:szCs w:val="20"/>
        </w:rPr>
        <w:t xml:space="preserve"> </w:t>
      </w:r>
    </w:p>
    <w:p w14:paraId="100FF4C3" w14:textId="014D1023" w:rsidR="00C523ED" w:rsidRDefault="00F17D30" w:rsidP="00CE4D8A">
      <w:pPr>
        <w:ind w:left="360"/>
        <w:rPr>
          <w:szCs w:val="20"/>
        </w:rPr>
      </w:pPr>
      <w:r w:rsidRPr="001F686F">
        <w:rPr>
          <w:rStyle w:val="Heading4Char"/>
          <w:noProof/>
        </w:rPr>
        <mc:AlternateContent>
          <mc:Choice Requires="wps">
            <w:drawing>
              <wp:anchor distT="45720" distB="45720" distL="114300" distR="114300" simplePos="0" relativeHeight="251665408" behindDoc="0" locked="0" layoutInCell="1" allowOverlap="1" wp14:anchorId="31617FB5" wp14:editId="57EEF50E">
                <wp:simplePos x="0" y="0"/>
                <wp:positionH relativeFrom="column">
                  <wp:posOffset>3313292</wp:posOffset>
                </wp:positionH>
                <wp:positionV relativeFrom="paragraph">
                  <wp:posOffset>9414</wp:posOffset>
                </wp:positionV>
                <wp:extent cx="4873625" cy="1404620"/>
                <wp:effectExtent l="0" t="0" r="317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404620"/>
                        </a:xfrm>
                        <a:prstGeom prst="rect">
                          <a:avLst/>
                        </a:prstGeom>
                        <a:solidFill>
                          <a:srgbClr val="FFFFFF"/>
                        </a:solidFill>
                        <a:ln w="9525">
                          <a:noFill/>
                          <a:miter lim="800000"/>
                          <a:headEnd/>
                          <a:tailEnd/>
                        </a:ln>
                      </wps:spPr>
                      <wps:txbx>
                        <w:txbxContent>
                          <w:p w14:paraId="652EB8C2" w14:textId="7897D3EA" w:rsidR="001F686F" w:rsidRPr="00F17D30" w:rsidRDefault="00F17D30">
                            <w:pPr>
                              <w:rPr>
                                <w:i/>
                                <w:color w:val="0070C0"/>
                                <w:sz w:val="20"/>
                                <w:szCs w:val="20"/>
                              </w:rPr>
                            </w:pPr>
                            <w:r>
                              <w:rPr>
                                <w:i/>
                                <w:color w:val="0070C0"/>
                                <w:sz w:val="20"/>
                                <w:szCs w:val="20"/>
                              </w:rPr>
                              <w:t xml:space="preserve">Note: </w:t>
                            </w:r>
                            <w:r w:rsidR="001F686F" w:rsidRPr="00F17D30">
                              <w:rPr>
                                <w:i/>
                                <w:color w:val="0070C0"/>
                                <w:sz w:val="20"/>
                                <w:szCs w:val="20"/>
                              </w:rPr>
                              <w:t xml:space="preserve">This enactive model example of B from above presents the bar models built with cubes as being laid horizontally next to one another. Students will first be introduced to vertical comparison bar models in the associated module as young children often find it easier to make comparisons </w:t>
                            </w:r>
                            <w:r w:rsidRPr="00F17D30">
                              <w:rPr>
                                <w:i/>
                                <w:color w:val="0070C0"/>
                                <w:sz w:val="20"/>
                                <w:szCs w:val="20"/>
                              </w:rPr>
                              <w:t>focused on, “…how much taller?” one set is from another before they are comfortable with answering the more general, “…how many more?” question.</w:t>
                            </w:r>
                            <w:r>
                              <w:rPr>
                                <w:i/>
                                <w:color w:val="0070C0"/>
                                <w:sz w:val="20"/>
                                <w:szCs w:val="20"/>
                              </w:rPr>
                              <w:t xml:space="preserve"> This example is provided to demonstrate what students will ultimately do with compare problems and models.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17FB5" id="_x0000_t202" coordsize="21600,21600" o:spt="202" path="m,l,21600r21600,l21600,xe">
                <v:stroke joinstyle="miter"/>
                <v:path gradientshapeok="t" o:connecttype="rect"/>
              </v:shapetype>
              <v:shape id="Text Box 2" o:spid="_x0000_s1026" type="#_x0000_t202" style="position:absolute;left:0;text-align:left;margin-left:260.9pt;margin-top:.75pt;width:383.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" stroked="f">
                <v:textbox style="mso-fit-shape-to-text:t">
                  <w:txbxContent>
                    <w:p w14:paraId="652EB8C2" w14:textId="7897D3EA" w:rsidR="001F686F" w:rsidRPr="00F17D30" w:rsidRDefault="00F17D30">
                      <w:pPr>
                        <w:rPr>
                          <w:i/>
                          <w:color w:val="0070C0"/>
                          <w:sz w:val="20"/>
                          <w:szCs w:val="20"/>
                        </w:rPr>
                      </w:pPr>
                      <w:r>
                        <w:rPr>
                          <w:i/>
                          <w:color w:val="0070C0"/>
                          <w:sz w:val="20"/>
                          <w:szCs w:val="20"/>
                        </w:rPr>
                        <w:t xml:space="preserve">Note: </w:t>
                      </w:r>
                      <w:r w:rsidR="001F686F" w:rsidRPr="00F17D30">
                        <w:rPr>
                          <w:i/>
                          <w:color w:val="0070C0"/>
                          <w:sz w:val="20"/>
                          <w:szCs w:val="20"/>
                        </w:rPr>
                        <w:t xml:space="preserve">This enactive model example of B from above presents the bar models built with cubes as being laid horizontally next to one another. Students will first be introduced to vertical comparison bar models in the associated module as young children often find it easier to make comparisons </w:t>
                      </w:r>
                      <w:r w:rsidRPr="00F17D30">
                        <w:rPr>
                          <w:i/>
                          <w:color w:val="0070C0"/>
                          <w:sz w:val="20"/>
                          <w:szCs w:val="20"/>
                        </w:rPr>
                        <w:t>focused on, “…how much taller?” one set is from another before they are comfortable with answering the more general, “…how many more?” question.</w:t>
                      </w:r>
                      <w:r>
                        <w:rPr>
                          <w:i/>
                          <w:color w:val="0070C0"/>
                          <w:sz w:val="20"/>
                          <w:szCs w:val="20"/>
                        </w:rPr>
                        <w:t xml:space="preserve"> This example is provided to demonstrate what students will ultimately do with compare problems and models.</w:t>
                      </w:r>
                    </w:p>
                  </w:txbxContent>
                </v:textbox>
                <w10:wrap type="square"/>
              </v:shape>
            </w:pict>
          </mc:Fallback>
        </mc:AlternateContent>
      </w:r>
      <w:r w:rsidR="001F686F">
        <w:rPr>
          <w:szCs w:val="20"/>
        </w:rPr>
        <w:t>(Part B from above)</w:t>
      </w:r>
    </w:p>
    <w:p w14:paraId="2BB8C075" w14:textId="39F048C1" w:rsidR="001F686F" w:rsidRDefault="001F686F" w:rsidP="00F17D30">
      <w:pPr>
        <w:ind w:left="360"/>
        <w:rPr>
          <w:rStyle w:val="Heading4Char"/>
        </w:rPr>
      </w:pPr>
      <w:r>
        <w:rPr>
          <w:rStyle w:val="Heading4Char"/>
          <w:noProof/>
        </w:rPr>
        <w:drawing>
          <wp:inline distT="0" distB="0" distL="0" distR="0" wp14:anchorId="43CC7BC2" wp14:editId="05D54117">
            <wp:extent cx="2496710" cy="72278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156" cy="725519"/>
                    </a:xfrm>
                    <a:prstGeom prst="rect">
                      <a:avLst/>
                    </a:prstGeom>
                    <a:noFill/>
                    <a:ln>
                      <a:noFill/>
                    </a:ln>
                  </pic:spPr>
                </pic:pic>
              </a:graphicData>
            </a:graphic>
          </wp:inline>
        </w:drawing>
      </w:r>
    </w:p>
    <w:p w14:paraId="1EAF5109" w14:textId="3C20F028" w:rsidR="009D382D" w:rsidRPr="00E031CA" w:rsidRDefault="001F686F" w:rsidP="00CE4D8A">
      <w:pPr>
        <w:pStyle w:val="Heading7"/>
        <w:ind w:left="0"/>
      </w:pPr>
      <w:r>
        <w:rPr>
          <w:noProof/>
          <w:szCs w:val="20"/>
        </w:rPr>
        <w:lastRenderedPageBreak/>
        <w:drawing>
          <wp:anchor distT="0" distB="0" distL="114300" distR="114300" simplePos="0" relativeHeight="251663360" behindDoc="1" locked="0" layoutInCell="1" allowOverlap="1" wp14:anchorId="7F5D0761" wp14:editId="50C0FA4A">
            <wp:simplePos x="0" y="0"/>
            <wp:positionH relativeFrom="column">
              <wp:posOffset>4569460</wp:posOffset>
            </wp:positionH>
            <wp:positionV relativeFrom="paragraph">
              <wp:posOffset>5853</wp:posOffset>
            </wp:positionV>
            <wp:extent cx="2090420" cy="671830"/>
            <wp:effectExtent l="0" t="0" r="5080" b="0"/>
            <wp:wrapTight wrapText="bothSides">
              <wp:wrapPolygon edited="0">
                <wp:start x="0" y="0"/>
                <wp:lineTo x="0" y="20824"/>
                <wp:lineTo x="21456" y="20824"/>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42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82D" w:rsidRPr="00E031CA">
        <w:t>Iconic Model examples</w:t>
      </w:r>
    </w:p>
    <w:p w14:paraId="7B89ECB3" w14:textId="2297A4E8" w:rsidR="00F17D30" w:rsidRDefault="00393482" w:rsidP="00F17D30">
      <w:pPr>
        <w:ind w:left="360"/>
        <w:rPr>
          <w:noProof/>
          <w:szCs w:val="20"/>
        </w:rPr>
      </w:pPr>
      <w:r>
        <w:rPr>
          <w:szCs w:val="20"/>
        </w:rPr>
        <w:t>Draw a bar</w:t>
      </w:r>
      <w:r w:rsidR="001F686F">
        <w:rPr>
          <w:szCs w:val="20"/>
        </w:rPr>
        <w:t xml:space="preserve"> model to represent the problem</w:t>
      </w:r>
      <w:r w:rsidR="00F17D30">
        <w:rPr>
          <w:szCs w:val="20"/>
        </w:rPr>
        <w:t>.</w:t>
      </w:r>
      <w:r>
        <w:rPr>
          <w:szCs w:val="20"/>
        </w:rPr>
        <w:t xml:space="preserve"> [Concept]</w:t>
      </w:r>
      <w:r w:rsidR="001F686F" w:rsidRPr="001F686F">
        <w:rPr>
          <w:noProof/>
          <w:szCs w:val="20"/>
        </w:rPr>
        <w:t xml:space="preserve"> </w:t>
      </w:r>
    </w:p>
    <w:p w14:paraId="0C0B9AA5" w14:textId="513BC711" w:rsidR="00F17D30" w:rsidRDefault="00F17D30" w:rsidP="00F17D30">
      <w:pPr>
        <w:ind w:left="360"/>
        <w:rPr>
          <w:noProof/>
          <w:szCs w:val="20"/>
        </w:rPr>
      </w:pPr>
      <w:r>
        <w:rPr>
          <w:szCs w:val="20"/>
        </w:rPr>
        <w:t>(Part A from above)</w:t>
      </w:r>
    </w:p>
    <w:p w14:paraId="18767A92" w14:textId="77777777" w:rsidR="00F17D30" w:rsidRPr="00E031CA" w:rsidRDefault="00F17D30" w:rsidP="00F17D30">
      <w:pPr>
        <w:pStyle w:val="Heading7"/>
        <w:ind w:left="0"/>
      </w:pPr>
      <w:r w:rsidRPr="00E031CA">
        <w:t>Symbolic Model example(s)</w:t>
      </w:r>
    </w:p>
    <w:p w14:paraId="1448EB3D" w14:textId="77777777" w:rsidR="00F17D30" w:rsidRDefault="00F17D30" w:rsidP="00F17D30">
      <w:pPr>
        <w:ind w:left="360"/>
        <w:rPr>
          <w:szCs w:val="20"/>
        </w:rPr>
      </w:pPr>
      <w:r>
        <w:rPr>
          <w:szCs w:val="20"/>
        </w:rPr>
        <w:t>Students should model situations using bar models and number lines (or informal pictures in some cases) as previously shown and then connect these models to the symbolic notation used to represent the situation.</w:t>
      </w:r>
    </w:p>
    <w:p w14:paraId="4C753F7A" w14:textId="77777777" w:rsidR="00F17D30" w:rsidRDefault="00F17D30" w:rsidP="00F17D30">
      <w:pPr>
        <w:spacing w:after="120"/>
        <w:ind w:left="907" w:right="360"/>
      </w:pPr>
    </w:p>
    <w:p w14:paraId="49110DA0" w14:textId="77777777" w:rsidR="00F17D30" w:rsidRPr="00710FDC" w:rsidRDefault="00F17D30" w:rsidP="00F17D30">
      <w:pPr>
        <w:pStyle w:val="Heading8"/>
        <w:ind w:left="0"/>
      </w:pPr>
      <w:r>
        <w:rPr>
          <w:noProof/>
          <w:szCs w:val="20"/>
        </w:rPr>
        <w:drawing>
          <wp:anchor distT="0" distB="0" distL="114300" distR="114300" simplePos="0" relativeHeight="251667456" behindDoc="1" locked="0" layoutInCell="1" allowOverlap="1" wp14:anchorId="754301D0" wp14:editId="26A982FF">
            <wp:simplePos x="0" y="0"/>
            <wp:positionH relativeFrom="column">
              <wp:posOffset>3805555</wp:posOffset>
            </wp:positionH>
            <wp:positionV relativeFrom="paragraph">
              <wp:posOffset>245110</wp:posOffset>
            </wp:positionV>
            <wp:extent cx="2480310" cy="926465"/>
            <wp:effectExtent l="0" t="0" r="0" b="6985"/>
            <wp:wrapTight wrapText="bothSides">
              <wp:wrapPolygon edited="0">
                <wp:start x="0" y="0"/>
                <wp:lineTo x="0" y="21319"/>
                <wp:lineTo x="21401" y="21319"/>
                <wp:lineTo x="2140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31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8480" behindDoc="1" locked="0" layoutInCell="1" allowOverlap="1" wp14:anchorId="501342FB" wp14:editId="0DFD88EE">
            <wp:simplePos x="0" y="0"/>
            <wp:positionH relativeFrom="column">
              <wp:posOffset>6470015</wp:posOffset>
            </wp:positionH>
            <wp:positionV relativeFrom="paragraph">
              <wp:posOffset>245745</wp:posOffset>
            </wp:positionV>
            <wp:extent cx="2432685" cy="861060"/>
            <wp:effectExtent l="0" t="0" r="5715" b="0"/>
            <wp:wrapTight wrapText="bothSides">
              <wp:wrapPolygon edited="0">
                <wp:start x="0" y="0"/>
                <wp:lineTo x="0" y="21027"/>
                <wp:lineTo x="21482" y="21027"/>
                <wp:lineTo x="2148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68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FDC">
        <w:t>Questions</w:t>
      </w:r>
      <w:r>
        <w:t>/Place Value Situations</w:t>
      </w:r>
      <w:r w:rsidRPr="00710FDC">
        <w:t>:</w:t>
      </w:r>
    </w:p>
    <w:p w14:paraId="2E4498F4" w14:textId="77777777" w:rsidR="00F17D30" w:rsidRDefault="00F17D30" w:rsidP="00F17D30">
      <w:pPr>
        <w:ind w:left="360"/>
        <w:rPr>
          <w:szCs w:val="20"/>
        </w:rPr>
      </w:pPr>
      <w:r>
        <w:rPr>
          <w:szCs w:val="20"/>
        </w:rPr>
        <w:t>Students should use the models and numbers to represent quantities using units of one and units of ten. Ask students about place value in relation to the ones and tens units. For example, the number 12 represents 12 units of size 1 or 1 unit of size 10 and 2 units of size one. This idea is represented below both iconically and symbolically. Have students create representations for teen numbers and up to at least 25 (ideally extending to numbers larger than 25 for many students).</w:t>
      </w:r>
    </w:p>
    <w:p w14:paraId="18AC9CB7" w14:textId="77777777" w:rsidR="00F17D30" w:rsidRDefault="00F17D30" w:rsidP="00F17D30">
      <w:pPr>
        <w:rPr>
          <w:szCs w:val="20"/>
        </w:rPr>
      </w:pPr>
    </w:p>
    <w:p w14:paraId="3104C451" w14:textId="77777777" w:rsidR="00F17D30" w:rsidRDefault="00F17D30" w:rsidP="00F17D30">
      <w:pPr>
        <w:ind w:left="360"/>
        <w:rPr>
          <w:szCs w:val="20"/>
        </w:rPr>
      </w:pPr>
    </w:p>
    <w:p w14:paraId="1EEC14DF" w14:textId="77777777" w:rsidR="00F17D30" w:rsidRDefault="00F17D30" w:rsidP="00F17D30">
      <w:pPr>
        <w:ind w:left="360"/>
        <w:rPr>
          <w:szCs w:val="20"/>
        </w:rPr>
      </w:pPr>
      <w:r w:rsidRPr="002F67AD">
        <w:rPr>
          <w:b/>
          <w:i/>
          <w:szCs w:val="20"/>
        </w:rPr>
        <w:t>Patterns:</w:t>
      </w:r>
      <w:r>
        <w:rPr>
          <w:szCs w:val="20"/>
        </w:rPr>
        <w:t xml:space="preserve"> Ask students to look for patterns between the numbers n and (10 + n) (e.g., 3 and 13 or 6 and 16). One activity would be for students to either build with cubes or with a bar model the matching numbers 0 and 10, 1 and 11, 2 and 12,  .  .  .  10 and 20. </w:t>
      </w:r>
    </w:p>
    <w:p w14:paraId="61E96063" w14:textId="77777777" w:rsidR="00F17D30" w:rsidRDefault="00F17D30" w:rsidP="00F17D30">
      <w:pPr>
        <w:ind w:left="360"/>
        <w:rPr>
          <w:szCs w:val="20"/>
        </w:rPr>
      </w:pPr>
    </w:p>
    <w:p w14:paraId="5123AAB4" w14:textId="77777777" w:rsidR="00F17D30" w:rsidRDefault="00F17D30" w:rsidP="00F17D30">
      <w:pPr>
        <w:ind w:left="360"/>
        <w:jc w:val="center"/>
        <w:rPr>
          <w:b/>
        </w:rPr>
      </w:pPr>
    </w:p>
    <w:p w14:paraId="60589514" w14:textId="77777777" w:rsidR="00F17D30" w:rsidRDefault="00F17D30" w:rsidP="00F17D30">
      <w:pPr>
        <w:ind w:left="360"/>
        <w:jc w:val="center"/>
        <w:rPr>
          <w:b/>
        </w:rPr>
      </w:pPr>
    </w:p>
    <w:p w14:paraId="1830FB29" w14:textId="51079BF2" w:rsidR="00FC45AA" w:rsidRPr="00CE4D8A" w:rsidRDefault="00F17D30" w:rsidP="00F17D30">
      <w:pPr>
        <w:ind w:left="360"/>
        <w:jc w:val="center"/>
        <w:rPr>
          <w:b/>
        </w:rPr>
      </w:pPr>
      <w:r>
        <w:rPr>
          <w:b/>
          <w:noProof/>
        </w:rPr>
        <w:drawing>
          <wp:inline distT="0" distB="0" distL="0" distR="0" wp14:anchorId="2254F5FA" wp14:editId="306D2C0C">
            <wp:extent cx="4300182" cy="1955362"/>
            <wp:effectExtent l="0" t="0" r="571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7978" cy="1958907"/>
                    </a:xfrm>
                    <a:prstGeom prst="rect">
                      <a:avLst/>
                    </a:prstGeom>
                    <a:noFill/>
                    <a:ln>
                      <a:noFill/>
                    </a:ln>
                  </pic:spPr>
                </pic:pic>
              </a:graphicData>
            </a:graphic>
          </wp:inline>
        </w:drawing>
      </w:r>
    </w:p>
    <w:p w14:paraId="2A2010F6" w14:textId="77777777" w:rsidR="00FC45AA" w:rsidRPr="00ED7330" w:rsidRDefault="00FC45AA" w:rsidP="00FC45AA">
      <w:pPr>
        <w:pStyle w:val="Heading3"/>
      </w:pPr>
      <w:r w:rsidRPr="00ED7330">
        <w:lastRenderedPageBreak/>
        <w:t>Appendix A</w:t>
      </w:r>
    </w:p>
    <w:p w14:paraId="04380B74" w14:textId="77777777" w:rsidR="00011CF6" w:rsidRPr="0096349C" w:rsidRDefault="00011CF6" w:rsidP="00011CF6">
      <w:pPr>
        <w:pStyle w:val="Heading6"/>
        <w:shd w:val="clear" w:color="auto" w:fill="D6D7EB" w:themeFill="accent5" w:themeFillTint="66"/>
        <w:tabs>
          <w:tab w:val="clear" w:pos="12960"/>
          <w:tab w:val="right" w:pos="13500"/>
          <w:tab w:val="right" w:pos="13680"/>
        </w:tabs>
        <w:ind w:left="180"/>
        <w:rPr>
          <w:sz w:val="28"/>
        </w:rPr>
      </w:pPr>
      <w:r w:rsidRPr="0096349C">
        <w:rPr>
          <w:sz w:val="28"/>
        </w:rPr>
        <w:t>Number and Operations in Base Ten</w:t>
      </w:r>
      <w:r w:rsidRPr="0096349C">
        <w:rPr>
          <w:sz w:val="28"/>
        </w:rPr>
        <w:tab/>
        <w:t>1.NBT</w:t>
      </w:r>
    </w:p>
    <w:p w14:paraId="751C19C9" w14:textId="77777777" w:rsidR="00011CF6" w:rsidRPr="0096349C" w:rsidRDefault="00011CF6" w:rsidP="00011CF6">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E</w:t>
      </w:r>
      <w:r w:rsidRPr="0096349C">
        <w:rPr>
          <w:rFonts w:asciiTheme="minorHAnsi" w:hAnsiTheme="minorHAnsi" w:cs="Gotham-Bold"/>
          <w:b/>
          <w:bCs/>
          <w:szCs w:val="28"/>
        </w:rPr>
        <w:t>.</w:t>
      </w:r>
      <w:r w:rsidRPr="0096349C">
        <w:rPr>
          <w:rFonts w:asciiTheme="minorHAnsi" w:hAnsiTheme="minorHAnsi" w:cs="Gotham-Bold"/>
          <w:b/>
          <w:bCs/>
          <w:szCs w:val="28"/>
        </w:rPr>
        <w:tab/>
        <w:t>Extend the counting sequence.</w:t>
      </w:r>
    </w:p>
    <w:p w14:paraId="52161A25" w14:textId="77777777" w:rsidR="00011CF6" w:rsidRPr="0096349C" w:rsidRDefault="00011CF6" w:rsidP="00011CF6">
      <w:pPr>
        <w:autoSpaceDE w:val="0"/>
        <w:autoSpaceDN w:val="0"/>
        <w:adjustRightInd w:val="0"/>
        <w:spacing w:before="60"/>
        <w:ind w:left="990" w:hanging="270"/>
        <w:rPr>
          <w:rFonts w:cs="Gotham-Book"/>
        </w:rPr>
      </w:pPr>
      <w:r w:rsidRPr="0096349C">
        <w:rPr>
          <w:rFonts w:cs="Gotham-Book"/>
        </w:rPr>
        <w:t>1.</w:t>
      </w:r>
      <w:r w:rsidRPr="0096349C">
        <w:rPr>
          <w:rFonts w:cs="Gotham-Book"/>
        </w:rPr>
        <w:tab/>
        <w:t>Count to 120, starting at any number less than 120. In this range, read and write numerals and represent a number of objects with a written numeral.</w:t>
      </w:r>
    </w:p>
    <w:p w14:paraId="34F5ED76" w14:textId="77777777" w:rsidR="00011CF6" w:rsidRPr="0096349C" w:rsidRDefault="00011CF6" w:rsidP="00011CF6">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F</w:t>
      </w:r>
      <w:r w:rsidRPr="0096349C">
        <w:rPr>
          <w:rFonts w:asciiTheme="minorHAnsi" w:hAnsiTheme="minorHAnsi" w:cs="Gotham-Bold"/>
          <w:b/>
          <w:bCs/>
          <w:szCs w:val="28"/>
        </w:rPr>
        <w:t>.</w:t>
      </w:r>
      <w:r w:rsidRPr="0096349C">
        <w:rPr>
          <w:rFonts w:asciiTheme="minorHAnsi" w:hAnsiTheme="minorHAnsi" w:cs="Gotham-Bold"/>
          <w:b/>
          <w:bCs/>
          <w:szCs w:val="28"/>
        </w:rPr>
        <w:tab/>
        <w:t>Understand place value.</w:t>
      </w:r>
    </w:p>
    <w:p w14:paraId="59A3908C" w14:textId="77777777" w:rsidR="00011CF6" w:rsidRPr="0096349C" w:rsidRDefault="00011CF6" w:rsidP="00011CF6">
      <w:pPr>
        <w:autoSpaceDE w:val="0"/>
        <w:autoSpaceDN w:val="0"/>
        <w:adjustRightInd w:val="0"/>
        <w:spacing w:before="60"/>
        <w:ind w:left="990" w:hanging="270"/>
        <w:rPr>
          <w:rFonts w:cs="Gotham-Book"/>
        </w:rPr>
      </w:pPr>
      <w:r w:rsidRPr="0096349C">
        <w:rPr>
          <w:rFonts w:cs="Gotham-Book"/>
        </w:rPr>
        <w:t>2.</w:t>
      </w:r>
      <w:r w:rsidRPr="0096349C">
        <w:rPr>
          <w:rFonts w:cs="Gotham-Book"/>
        </w:rPr>
        <w:tab/>
        <w:t>Understand that the two digits of a two-digit number represent amounts of tens and ones. Understand the following as special cases:</w:t>
      </w:r>
    </w:p>
    <w:p w14:paraId="72ED2C0A" w14:textId="77777777" w:rsidR="00011CF6" w:rsidRPr="0096349C" w:rsidRDefault="00011CF6" w:rsidP="00011CF6">
      <w:pPr>
        <w:autoSpaceDE w:val="0"/>
        <w:autoSpaceDN w:val="0"/>
        <w:adjustRightInd w:val="0"/>
        <w:spacing w:before="60"/>
        <w:ind w:left="1260" w:hanging="270"/>
        <w:rPr>
          <w:rFonts w:cs="Gotham-Book"/>
        </w:rPr>
      </w:pPr>
      <w:r w:rsidRPr="0096349C">
        <w:rPr>
          <w:rFonts w:cs="Gotham-Book"/>
        </w:rPr>
        <w:t>a.</w:t>
      </w:r>
      <w:r w:rsidRPr="0096349C">
        <w:rPr>
          <w:rFonts w:cs="Gotham-Book"/>
        </w:rPr>
        <w:tab/>
        <w:t>10 can be thought of as a bundle of ten ones — called a “ten.”</w:t>
      </w:r>
    </w:p>
    <w:p w14:paraId="3B3D3B7D" w14:textId="77777777" w:rsidR="002E73B6" w:rsidRPr="0096349C" w:rsidRDefault="002E73B6" w:rsidP="002E73B6">
      <w:pPr>
        <w:pStyle w:val="Heading6"/>
        <w:shd w:val="clear" w:color="auto" w:fill="D6D7EB" w:themeFill="accent5" w:themeFillTint="66"/>
        <w:tabs>
          <w:tab w:val="clear" w:pos="12960"/>
          <w:tab w:val="right" w:pos="13500"/>
          <w:tab w:val="right" w:pos="13680"/>
        </w:tabs>
        <w:ind w:left="180"/>
        <w:rPr>
          <w:sz w:val="28"/>
        </w:rPr>
      </w:pPr>
      <w:r w:rsidRPr="0096349C">
        <w:rPr>
          <w:sz w:val="28"/>
        </w:rPr>
        <w:t>Operations and Algebraic Thinking</w:t>
      </w:r>
      <w:r w:rsidRPr="0096349C">
        <w:rPr>
          <w:sz w:val="28"/>
        </w:rPr>
        <w:tab/>
        <w:t>1.OA</w:t>
      </w:r>
    </w:p>
    <w:p w14:paraId="371FFFFB" w14:textId="77777777" w:rsidR="002E73B6" w:rsidRPr="0096349C" w:rsidRDefault="002E73B6" w:rsidP="002E73B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A.</w:t>
      </w:r>
      <w:r w:rsidRPr="0096349C">
        <w:rPr>
          <w:rFonts w:asciiTheme="minorHAnsi" w:hAnsiTheme="minorHAnsi" w:cs="Gotham-Bold"/>
          <w:b/>
          <w:bCs/>
          <w:szCs w:val="28"/>
        </w:rPr>
        <w:tab/>
        <w:t>Represent and solve problems involving addition and subtraction.</w:t>
      </w:r>
    </w:p>
    <w:p w14:paraId="61AC044B" w14:textId="77777777" w:rsidR="002E73B6" w:rsidRPr="0096349C" w:rsidRDefault="002E73B6" w:rsidP="002E73B6">
      <w:pPr>
        <w:autoSpaceDE w:val="0"/>
        <w:autoSpaceDN w:val="0"/>
        <w:adjustRightInd w:val="0"/>
        <w:spacing w:before="60"/>
        <w:ind w:left="990" w:hanging="270"/>
        <w:rPr>
          <w:rFonts w:cs="Gotham-Book"/>
        </w:rPr>
      </w:pPr>
      <w:r w:rsidRPr="0096349C">
        <w:rPr>
          <w:rFonts w:cs="Gotham-Book"/>
        </w:rPr>
        <w:t>1.</w:t>
      </w:r>
      <w:r w:rsidRPr="0096349C">
        <w:rPr>
          <w:rFonts w:cs="Gotham-Book"/>
        </w:rPr>
        <w:tab/>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14:paraId="1F2D8F5C" w14:textId="77777777" w:rsidR="002E73B6" w:rsidRPr="0096349C" w:rsidRDefault="002E73B6" w:rsidP="002E73B6">
      <w:pPr>
        <w:autoSpaceDE w:val="0"/>
        <w:autoSpaceDN w:val="0"/>
        <w:adjustRightInd w:val="0"/>
        <w:spacing w:before="60"/>
        <w:ind w:left="990" w:hanging="270"/>
        <w:rPr>
          <w:rFonts w:cs="Gotham-Book"/>
        </w:rPr>
      </w:pPr>
      <w:r w:rsidRPr="0096349C">
        <w:rPr>
          <w:rFonts w:cs="Gotham-Book"/>
        </w:rPr>
        <w:t>2.</w:t>
      </w:r>
      <w:r w:rsidRPr="0096349C">
        <w:rPr>
          <w:rFonts w:cs="Gotham-Book"/>
        </w:rPr>
        <w:tab/>
        <w:t>Solve word problems that call for addition of three whole numbers whose sum is less than or equal to 20, e.g., by using objects, drawings, and equations with a symbol for the unknown number to represent the problem.</w:t>
      </w:r>
    </w:p>
    <w:p w14:paraId="31E1754B" w14:textId="77777777" w:rsidR="002E73B6" w:rsidRPr="0096349C" w:rsidRDefault="002E73B6" w:rsidP="002E73B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B.</w:t>
      </w:r>
      <w:r w:rsidRPr="0096349C">
        <w:rPr>
          <w:rFonts w:asciiTheme="minorHAnsi" w:hAnsiTheme="minorHAnsi" w:cs="Gotham-Bold"/>
          <w:b/>
          <w:bCs/>
          <w:szCs w:val="28"/>
        </w:rPr>
        <w:tab/>
        <w:t>Understand and apply properties of operations and the relationship between addition and subtraction.</w:t>
      </w:r>
    </w:p>
    <w:p w14:paraId="315D92EB" w14:textId="77777777" w:rsidR="002E73B6" w:rsidRPr="0096349C" w:rsidRDefault="002E73B6" w:rsidP="002E73B6">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Apply properties of operations as strategies to add and subtract. </w:t>
      </w:r>
      <w:r w:rsidRPr="0096349C">
        <w:rPr>
          <w:rFonts w:cs="Gotham-Book"/>
          <w:i/>
        </w:rPr>
        <w:t>Examples: If 8 + 3 = 11 is known, then 3 + 8 = 11 is also known. (Commutative property of addition.) To add 2 + 6 + 4, the second two numbers can be added to make a ten, so 2 + 6 + 4 = 2 + 10 = 12. (Associative property of addition.)</w:t>
      </w:r>
    </w:p>
    <w:p w14:paraId="6DD9FE96" w14:textId="77777777" w:rsidR="002E73B6" w:rsidRPr="0096349C" w:rsidRDefault="002E73B6" w:rsidP="002E73B6">
      <w:pPr>
        <w:autoSpaceDE w:val="0"/>
        <w:autoSpaceDN w:val="0"/>
        <w:adjustRightInd w:val="0"/>
        <w:spacing w:before="60"/>
        <w:ind w:left="990" w:hanging="270"/>
        <w:rPr>
          <w:rFonts w:cs="Gotham-Book"/>
        </w:rPr>
      </w:pPr>
      <w:r w:rsidRPr="0096349C">
        <w:rPr>
          <w:rFonts w:cs="Gotham-Book"/>
        </w:rPr>
        <w:t>4.</w:t>
      </w:r>
      <w:r w:rsidRPr="0096349C">
        <w:rPr>
          <w:rFonts w:cs="Gotham-Book"/>
        </w:rPr>
        <w:tab/>
        <w:t xml:space="preserve">Understand subtraction as an unknown-addend problem. </w:t>
      </w:r>
      <w:r w:rsidRPr="0096349C">
        <w:rPr>
          <w:rFonts w:cs="Gotham-Book"/>
          <w:i/>
        </w:rPr>
        <w:t>For example, subtract 10 – 8 by finding the number that makes 10 when added to 8.</w:t>
      </w:r>
    </w:p>
    <w:p w14:paraId="5F08A9B1" w14:textId="77777777" w:rsidR="002E73B6" w:rsidRPr="0096349C" w:rsidRDefault="002E73B6" w:rsidP="002E73B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C.</w:t>
      </w:r>
      <w:r w:rsidRPr="0096349C">
        <w:rPr>
          <w:rFonts w:asciiTheme="minorHAnsi" w:hAnsiTheme="minorHAnsi" w:cs="Gotham-Bold"/>
          <w:b/>
          <w:bCs/>
          <w:szCs w:val="28"/>
        </w:rPr>
        <w:tab/>
        <w:t>Add and subtract within 20.</w:t>
      </w:r>
    </w:p>
    <w:p w14:paraId="6A62C609" w14:textId="77777777" w:rsidR="002E73B6" w:rsidRPr="0096349C" w:rsidRDefault="002E73B6" w:rsidP="002E73B6">
      <w:pPr>
        <w:autoSpaceDE w:val="0"/>
        <w:autoSpaceDN w:val="0"/>
        <w:adjustRightInd w:val="0"/>
        <w:spacing w:before="60"/>
        <w:ind w:left="990" w:hanging="270"/>
        <w:rPr>
          <w:rFonts w:cs="Gotham-Book"/>
        </w:rPr>
      </w:pPr>
      <w:r w:rsidRPr="0096349C">
        <w:rPr>
          <w:rFonts w:cs="Gotham-Book"/>
        </w:rPr>
        <w:t>5.</w:t>
      </w:r>
      <w:r w:rsidRPr="0096349C">
        <w:rPr>
          <w:rFonts w:cs="Gotham-Book"/>
        </w:rPr>
        <w:tab/>
        <w:t>Relate counting to addition and subtraction (e.g., by counting on 2 to add 2).</w:t>
      </w:r>
    </w:p>
    <w:p w14:paraId="6A544632" w14:textId="77777777" w:rsidR="002E73B6" w:rsidRPr="0096349C" w:rsidRDefault="002E73B6" w:rsidP="002E73B6">
      <w:pPr>
        <w:autoSpaceDE w:val="0"/>
        <w:autoSpaceDN w:val="0"/>
        <w:adjustRightInd w:val="0"/>
        <w:spacing w:before="60"/>
        <w:ind w:left="990" w:hanging="270"/>
        <w:rPr>
          <w:rFonts w:cs="Gotham-Book"/>
        </w:rPr>
      </w:pPr>
      <w:r w:rsidRPr="0096349C">
        <w:rPr>
          <w:rFonts w:cs="Gotham-Book"/>
        </w:rPr>
        <w:t>6.</w:t>
      </w:r>
      <w:r w:rsidRPr="0096349C">
        <w:rPr>
          <w:rFonts w:cs="Gotham-Book"/>
        </w:rPr>
        <w:tab/>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3E15E0D4" w14:textId="77777777" w:rsidR="002E73B6" w:rsidRPr="0096349C" w:rsidRDefault="002E73B6" w:rsidP="002E73B6">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D.</w:t>
      </w:r>
      <w:r w:rsidRPr="0096349C">
        <w:rPr>
          <w:rFonts w:asciiTheme="minorHAnsi" w:hAnsiTheme="minorHAnsi" w:cs="Gotham-Bold"/>
          <w:b/>
          <w:bCs/>
          <w:szCs w:val="28"/>
        </w:rPr>
        <w:tab/>
        <w:t>Work with addition and subtraction equations.</w:t>
      </w:r>
    </w:p>
    <w:p w14:paraId="685EF7BC" w14:textId="77777777" w:rsidR="002E73B6" w:rsidRPr="0096349C" w:rsidRDefault="002E73B6" w:rsidP="002E73B6">
      <w:pPr>
        <w:autoSpaceDE w:val="0"/>
        <w:autoSpaceDN w:val="0"/>
        <w:adjustRightInd w:val="0"/>
        <w:spacing w:before="60"/>
        <w:ind w:left="990" w:hanging="270"/>
        <w:rPr>
          <w:rFonts w:cs="Gotham-Book"/>
          <w:i/>
        </w:rPr>
      </w:pPr>
      <w:r w:rsidRPr="0096349C">
        <w:rPr>
          <w:rFonts w:cs="Gotham-Book"/>
        </w:rPr>
        <w:t>7.</w:t>
      </w:r>
      <w:r w:rsidRPr="0096349C">
        <w:rPr>
          <w:rFonts w:cs="Gotham-Book"/>
        </w:rPr>
        <w:tab/>
        <w:t>The equal sign, and determine if equations involving addition and subtraction are true or false</w:t>
      </w:r>
      <w:r w:rsidRPr="0096349C">
        <w:rPr>
          <w:rFonts w:cs="Gotham-Book"/>
          <w:i/>
        </w:rPr>
        <w:t>. For example, which of the following equations are true and which are false? 6 = 6, 7 = 8 – 1, 5 + 2 = 2 + 5, 4 + 1 = 5 + 2.</w:t>
      </w:r>
    </w:p>
    <w:p w14:paraId="1E52D585" w14:textId="77777777" w:rsidR="00F10047" w:rsidRPr="002E73B6" w:rsidRDefault="002E73B6" w:rsidP="002E73B6">
      <w:pPr>
        <w:autoSpaceDE w:val="0"/>
        <w:autoSpaceDN w:val="0"/>
        <w:adjustRightInd w:val="0"/>
        <w:spacing w:before="60"/>
        <w:ind w:left="990" w:hanging="270"/>
        <w:rPr>
          <w:rFonts w:cs="Gotham-Book"/>
          <w:i/>
        </w:rPr>
      </w:pPr>
      <w:r w:rsidRPr="0096349C">
        <w:rPr>
          <w:rFonts w:cs="Gotham-Book"/>
        </w:rPr>
        <w:t>8.</w:t>
      </w:r>
      <w:r w:rsidRPr="0096349C">
        <w:rPr>
          <w:rFonts w:cs="Gotham-Book"/>
        </w:rPr>
        <w:tab/>
        <w:t xml:space="preserve">Determine the unknown whole number in an addition or subtraction equation relating to three whole numbers. </w:t>
      </w:r>
      <w:r w:rsidRPr="0096349C">
        <w:rPr>
          <w:rFonts w:cs="Gotham-Book"/>
          <w:i/>
        </w:rPr>
        <w:t xml:space="preserve">For example, determine the unknown number that makes the equation true in each of the equations 8 + ? = 11, 5 = </w:t>
      </w:r>
      <w:r w:rsidRPr="0096349C">
        <w:rPr>
          <w:rFonts w:ascii="Arial" w:hAnsi="Arial" w:cs="Arial"/>
          <w:i/>
        </w:rPr>
        <w:t>_</w:t>
      </w:r>
      <w:r w:rsidRPr="0096349C">
        <w:rPr>
          <w:rFonts w:cs="Gotham-Book"/>
          <w:i/>
        </w:rPr>
        <w:t xml:space="preserve"> – 3, 6 + 6 = </w:t>
      </w:r>
      <w:r w:rsidRPr="0096349C">
        <w:rPr>
          <w:rFonts w:ascii="Arial" w:hAnsi="Arial" w:cs="Arial"/>
          <w:i/>
        </w:rPr>
        <w:t>_</w:t>
      </w:r>
      <w:r w:rsidRPr="0096349C">
        <w:rPr>
          <w:rFonts w:cs="Gotham-Book"/>
          <w:i/>
        </w:rPr>
        <w:t>.</w:t>
      </w:r>
    </w:p>
    <w:sectPr w:rsidR="00F10047" w:rsidRPr="002E73B6" w:rsidSect="00786343">
      <w:footerReference w:type="default" r:id="rId13"/>
      <w:footerReference w:type="first" r:id="rId14"/>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231B" w14:textId="77777777" w:rsidR="00EF29BE" w:rsidRDefault="00EF29BE" w:rsidP="00796CF4">
      <w:r>
        <w:separator/>
      </w:r>
    </w:p>
    <w:p w14:paraId="3AF38D10" w14:textId="77777777" w:rsidR="00EF29BE" w:rsidRDefault="00EF29BE" w:rsidP="00796CF4"/>
  </w:endnote>
  <w:endnote w:type="continuationSeparator" w:id="0">
    <w:p w14:paraId="7E650FF3" w14:textId="77777777" w:rsidR="00EF29BE" w:rsidRDefault="00EF29BE" w:rsidP="00796CF4">
      <w:r>
        <w:continuationSeparator/>
      </w:r>
    </w:p>
    <w:p w14:paraId="0621D0AC" w14:textId="77777777" w:rsidR="00EF29BE" w:rsidRDefault="00EF29BE"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F151" w14:textId="04BF8CB6" w:rsidR="00393482" w:rsidRPr="00B25458" w:rsidRDefault="00393482" w:rsidP="003D0E70">
    <w:pPr>
      <w:tabs>
        <w:tab w:val="right" w:pos="13680"/>
      </w:tabs>
      <w:rPr>
        <w:caps/>
      </w:rPr>
    </w:pPr>
    <w:r>
      <w:t xml:space="preserve">© 2017 by </w:t>
    </w:r>
    <w:r>
      <w:rPr>
        <w:noProof/>
      </w:rPr>
      <mc:AlternateContent>
        <mc:Choice Requires="wpg">
          <w:drawing>
            <wp:inline distT="0" distB="0" distL="0" distR="0" wp14:anchorId="127B178C" wp14:editId="17430AFD">
              <wp:extent cx="415925" cy="111760"/>
              <wp:effectExtent l="0" t="0" r="3175" b="2540"/>
              <wp:docPr id="1" name="Group 1"/>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7" name="Oval 7"/>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3A37D64" id="Group_x0020_1"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">
              <v:oval id="Oval_x0020_7"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qVwwAA&#10;ANoAAAAPAAAAZHJzL2Rvd25yZXYueG1sRI9Ba8JAFITvBf/D8oReim4itEp0FQkUe6lQFc/P7DMJ&#10;Zt9us2tM/31XEDwOM/MNs1j1phEdtb62rCAdJyCIC6trLhUc9p+jGQgfkDU2lknBH3lYLQcvC8y0&#10;vfEPdbtQighhn6GCKgSXSemLigz6sXXE0Tvb1mCIsi2lbvEW4aaRkyT5kAZrjgsVOsorKi67q1Gw&#10;vf6m77w5pfbbHesuz6fubXtS6nXYr+cgAvXhGX60v7SCKdyvx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qVwwAAANoAAAAPAAAAAAAAAAAAAAAAAJcCAABkcnMvZG93&#10;bnJldi54bWxQSwUGAAAAAAQABAD1AAAAhwMAAAAA&#10;" fillcolor="#007dc3 [3209]" stroked="f">
                <o:lock v:ext="edit" aspectratio="t"/>
              </v:oval>
              <v:oval id="Oval_x0020_8"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f0GwAAA&#10;ANoAAAAPAAAAZHJzL2Rvd25yZXYueG1sRE/LagIxFN0X/IdwhW6KZuqi1NEoovjoqvhAXF4m18lg&#10;cjNNUp3+fbModHk47+m8c1bcKcTGs4LXYQGCuPK64VrB6bgevIOICVmj9UwKfijCfNZ7mmKp/YP3&#10;dD+kWuQQjiUqMCm1pZSxMuQwDn1LnLmrDw5ThqGWOuAjhzsrR0XxJh02nBsMtrQ0VN0O307By4cf&#10;W2PPyGGLy8un2ay+jiOlnvvdYgIiUZf+xX/unVaQt+Yr+QbI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f0GwAAAANoAAAAPAAAAAAAAAAAAAAAAAJcCAABkcnMvZG93bnJl&#10;di54bWxQSwUGAAAAAAQABAD1AAAAhAMAAAAA&#10;" fillcolor="#00b1b0 [3207]" stroked="f">
                <o:lock v:ext="edit" aspectratio="t"/>
              </v:oval>
              <v:oval id="Oval_x0020_9"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YkxAAA&#10;ANoAAAAPAAAAZHJzL2Rvd25yZXYueG1sRI9Ba8JAFITvBf/D8gRvddNiSxtdRYSSHKzQpBdvj+wz&#10;G5p9G7JrEv+9Wyj0OMzMN8xmN9lWDNT7xrGCp2UCgrhyuuFawXf58fgGwgdkja1jUnAjD7vt7GGD&#10;qXYjf9FQhFpECPsUFZgQulRKXxmy6JeuI47exfUWQ5R9LXWPY4TbVj4nyau02HBcMNjRwVD1U1yt&#10;gvH2eR2609GczHmVZT4/l258UWoxn/ZrEIGm8B/+a+dawTv8Xo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2JMQAAADaAAAADwAAAAAAAAAAAAAAAACXAgAAZHJzL2Rv&#10;d25yZXYueG1sUEsFBgAAAAAEAAQA9QAAAIgDAAAAAA==&#10;" fillcolor="#a0cf67 [3205]" stroked="f">
                <o:lock v:ext="edit" aspectratio="t"/>
              </v:oval>
              <v:oval id="Oval_x0020_10"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rfIxQAA&#10;ANsAAAAPAAAAZHJzL2Rvd25yZXYueG1sRI9BSwMxEIXvBf9DGKG3NqtikbVpKcJSaQ/SteB12Ex3&#10;o5vJmqTt+u+dg+BthvfmvW+W69H36kIxucAG7uYFKOImWMetgeN7NXsClTKyxT4wGfihBOvVzWSJ&#10;pQ1XPtClzq2SEE4lGuhyHkqtU9ORxzQPA7FopxA9Zlljq23Eq4T7Xt8XxUJ7dCwNHQ700lHzVZ+9&#10;gd3nqf54e9xS+t5X1XHz4OLe1cZMb8fNM6hMY/43/12/WsEXevlFB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Gt8jFAAAA2wAAAA8AAAAAAAAAAAAAAAAAlwIAAGRycy9k&#10;b3ducmV2LnhtbFBLBQYAAAAABAAEAPUAAACJAwAAAAA=&#10;" fillcolor="#9a9ccd [3208]" stroked="f">
                <o:lock v:ext="edit" aspectratio="t"/>
              </v:oval>
              <w10:anchorlock/>
            </v:group>
          </w:pict>
        </mc:Fallback>
      </mc:AlternateContent>
    </w:r>
    <w:r>
      <w:t xml:space="preserve"> DMTI Inc.</w:t>
    </w:r>
    <w:r w:rsidRPr="00D677DB">
      <w:rPr>
        <w:rFonts w:asciiTheme="minorHAnsi" w:eastAsiaTheme="minorEastAsia" w:hAnsi="Calibri"/>
        <w:caps/>
        <w:color w:val="FFFFFF"/>
        <w:kern w:val="24"/>
        <w:sz w:val="18"/>
        <w:szCs w:val="18"/>
      </w:rPr>
      <w:t xml:space="preserve"> </w:t>
    </w:r>
    <w:r w:rsidRPr="00D677DB">
      <w:t>| Resource Materials | www.dmtinstitute.com</w:t>
    </w:r>
    <w:r w:rsidRPr="00B25458">
      <w:tab/>
    </w:r>
    <w:r>
      <w:t>Grade 1:  Unit 3 Overview</w:t>
    </w:r>
    <w:r w:rsidRPr="00B25458">
      <w:t xml:space="preserve">  |  Page </w:t>
    </w:r>
    <w:r w:rsidRPr="00B25458">
      <w:rPr>
        <w:caps/>
      </w:rPr>
      <w:fldChar w:fldCharType="begin"/>
    </w:r>
    <w:r w:rsidRPr="00B25458">
      <w:instrText xml:space="preserve"> PAGE   \* MERGEFORMAT </w:instrText>
    </w:r>
    <w:r w:rsidRPr="00B25458">
      <w:rPr>
        <w:caps/>
      </w:rPr>
      <w:fldChar w:fldCharType="separate"/>
    </w:r>
    <w:r w:rsidR="00272538">
      <w:rPr>
        <w:noProof/>
      </w:rPr>
      <w:t>1</w:t>
    </w:r>
    <w:r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9DB5" w14:textId="77777777" w:rsidR="00393482" w:rsidRPr="00433784" w:rsidRDefault="00393482"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CDDE" w14:textId="77777777" w:rsidR="00EF29BE" w:rsidRDefault="00EF29BE" w:rsidP="00796CF4">
      <w:r>
        <w:separator/>
      </w:r>
    </w:p>
    <w:p w14:paraId="27D482F5" w14:textId="77777777" w:rsidR="00EF29BE" w:rsidRDefault="00EF29BE" w:rsidP="00796CF4"/>
  </w:footnote>
  <w:footnote w:type="continuationSeparator" w:id="0">
    <w:p w14:paraId="7F7C70F9" w14:textId="77777777" w:rsidR="00EF29BE" w:rsidRDefault="00EF29BE" w:rsidP="00796CF4">
      <w:r>
        <w:continuationSeparator/>
      </w:r>
    </w:p>
    <w:p w14:paraId="6407017B" w14:textId="77777777" w:rsidR="00EF29BE" w:rsidRDefault="00EF29BE"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26C31"/>
    <w:multiLevelType w:val="hybridMultilevel"/>
    <w:tmpl w:val="08E23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373E1A"/>
    <w:multiLevelType w:val="hybridMultilevel"/>
    <w:tmpl w:val="366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6"/>
  </w:num>
  <w:num w:numId="8">
    <w:abstractNumId w:val="6"/>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11CF6"/>
    <w:rsid w:val="00042084"/>
    <w:rsid w:val="0006396B"/>
    <w:rsid w:val="00070C19"/>
    <w:rsid w:val="000876B7"/>
    <w:rsid w:val="000968D3"/>
    <w:rsid w:val="000C7B17"/>
    <w:rsid w:val="000D2200"/>
    <w:rsid w:val="00183AE4"/>
    <w:rsid w:val="001F686F"/>
    <w:rsid w:val="00205C75"/>
    <w:rsid w:val="002078AF"/>
    <w:rsid w:val="0021754C"/>
    <w:rsid w:val="002370C6"/>
    <w:rsid w:val="002525D8"/>
    <w:rsid w:val="00272538"/>
    <w:rsid w:val="00272D04"/>
    <w:rsid w:val="002D52D7"/>
    <w:rsid w:val="002E73B6"/>
    <w:rsid w:val="003238FF"/>
    <w:rsid w:val="0034493C"/>
    <w:rsid w:val="00353336"/>
    <w:rsid w:val="00393482"/>
    <w:rsid w:val="003B6759"/>
    <w:rsid w:val="003C4724"/>
    <w:rsid w:val="003D0E70"/>
    <w:rsid w:val="003F24D1"/>
    <w:rsid w:val="004221E6"/>
    <w:rsid w:val="00433784"/>
    <w:rsid w:val="00434611"/>
    <w:rsid w:val="00461A59"/>
    <w:rsid w:val="00464080"/>
    <w:rsid w:val="00486B4E"/>
    <w:rsid w:val="00487F5D"/>
    <w:rsid w:val="004F2424"/>
    <w:rsid w:val="00534E69"/>
    <w:rsid w:val="005A3AC0"/>
    <w:rsid w:val="005B7B03"/>
    <w:rsid w:val="00613559"/>
    <w:rsid w:val="00645B16"/>
    <w:rsid w:val="00677FC6"/>
    <w:rsid w:val="006944F2"/>
    <w:rsid w:val="006B592F"/>
    <w:rsid w:val="006F33CB"/>
    <w:rsid w:val="00710FDC"/>
    <w:rsid w:val="00730EE1"/>
    <w:rsid w:val="00781605"/>
    <w:rsid w:val="00786343"/>
    <w:rsid w:val="00796CF4"/>
    <w:rsid w:val="007E0B1A"/>
    <w:rsid w:val="00802B24"/>
    <w:rsid w:val="0080732C"/>
    <w:rsid w:val="00807B52"/>
    <w:rsid w:val="008243F0"/>
    <w:rsid w:val="008355A9"/>
    <w:rsid w:val="0084097B"/>
    <w:rsid w:val="008736E3"/>
    <w:rsid w:val="00887BEC"/>
    <w:rsid w:val="008A1F6C"/>
    <w:rsid w:val="008D08B0"/>
    <w:rsid w:val="008F4F16"/>
    <w:rsid w:val="008F666F"/>
    <w:rsid w:val="00906F54"/>
    <w:rsid w:val="00912E05"/>
    <w:rsid w:val="0094108D"/>
    <w:rsid w:val="00942CB7"/>
    <w:rsid w:val="00962056"/>
    <w:rsid w:val="009822CB"/>
    <w:rsid w:val="009D048A"/>
    <w:rsid w:val="009D382D"/>
    <w:rsid w:val="009D5E51"/>
    <w:rsid w:val="00A24F66"/>
    <w:rsid w:val="00A741D9"/>
    <w:rsid w:val="00A84BA3"/>
    <w:rsid w:val="00A8790D"/>
    <w:rsid w:val="00AD1C17"/>
    <w:rsid w:val="00AE659B"/>
    <w:rsid w:val="00B16410"/>
    <w:rsid w:val="00B179E9"/>
    <w:rsid w:val="00B25458"/>
    <w:rsid w:val="00B42090"/>
    <w:rsid w:val="00B4286D"/>
    <w:rsid w:val="00B547C6"/>
    <w:rsid w:val="00B80ED7"/>
    <w:rsid w:val="00B92D56"/>
    <w:rsid w:val="00BA37F8"/>
    <w:rsid w:val="00BB30F6"/>
    <w:rsid w:val="00BC1954"/>
    <w:rsid w:val="00BD673E"/>
    <w:rsid w:val="00C03A6B"/>
    <w:rsid w:val="00C523ED"/>
    <w:rsid w:val="00C76F3B"/>
    <w:rsid w:val="00CC6D2F"/>
    <w:rsid w:val="00CE4D8A"/>
    <w:rsid w:val="00D56C69"/>
    <w:rsid w:val="00D645BC"/>
    <w:rsid w:val="00DA057B"/>
    <w:rsid w:val="00DE0A22"/>
    <w:rsid w:val="00E031CA"/>
    <w:rsid w:val="00E21CEF"/>
    <w:rsid w:val="00E34B23"/>
    <w:rsid w:val="00E778E3"/>
    <w:rsid w:val="00ED5E2C"/>
    <w:rsid w:val="00EF29BE"/>
    <w:rsid w:val="00EF4321"/>
    <w:rsid w:val="00F10047"/>
    <w:rsid w:val="00F17D30"/>
    <w:rsid w:val="00F32FE1"/>
    <w:rsid w:val="00F43FA4"/>
    <w:rsid w:val="00F71B71"/>
    <w:rsid w:val="00FB1737"/>
    <w:rsid w:val="00FC45AA"/>
    <w:rsid w:val="00FE5D5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278FE"/>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qFormat/>
    <w:rsid w:val="00796CF4"/>
    <w:pPr>
      <w:tabs>
        <w:tab w:val="right" w:pos="12960"/>
      </w:tabs>
      <w:ind w:left="180"/>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qFormat/>
    <w:rsid w:val="00796CF4"/>
    <w:pPr>
      <w:outlineLvl w:val="4"/>
    </w:pPr>
    <w:rPr>
      <w:b/>
    </w:rPr>
  </w:style>
  <w:style w:type="paragraph" w:styleId="Heading6">
    <w:name w:val="heading 6"/>
    <w:basedOn w:val="Heading3"/>
    <w:next w:val="Normal"/>
    <w:link w:val="Heading6Char"/>
    <w:qFormat/>
    <w:rsid w:val="003D0E70"/>
    <w:pPr>
      <w:spacing w:before="240" w:after="60"/>
      <w:ind w:left="360"/>
      <w:outlineLvl w:val="5"/>
    </w:pPr>
  </w:style>
  <w:style w:type="paragraph" w:styleId="Heading7">
    <w:name w:val="heading 7"/>
    <w:basedOn w:val="Heading4"/>
    <w:next w:val="Normal"/>
    <w:autoRedefine/>
    <w:qFormat/>
    <w:rsid w:val="00B4286D"/>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paragraph" w:styleId="Title">
    <w:name w:val="Title"/>
    <w:basedOn w:val="Normal"/>
    <w:next w:val="Normal"/>
    <w:link w:val="TitleChar"/>
    <w:uiPriority w:val="10"/>
    <w:qFormat/>
    <w:rsid w:val="000968D3"/>
    <w:pPr>
      <w:pBdr>
        <w:bottom w:val="single" w:sz="8" w:space="4" w:color="06357A"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68D3"/>
    <w:rPr>
      <w:rFonts w:asciiTheme="majorHAnsi" w:eastAsiaTheme="majorEastAsia" w:hAnsiTheme="majorHAnsi" w:cstheme="majorBidi"/>
      <w:color w:val="323E4F" w:themeColor="text2" w:themeShade="BF"/>
      <w:spacing w:val="5"/>
      <w:kern w:val="28"/>
      <w:sz w:val="52"/>
      <w:szCs w:val="52"/>
    </w:rPr>
  </w:style>
  <w:style w:type="character" w:customStyle="1" w:styleId="Heading6Char">
    <w:name w:val="Heading 6 Char"/>
    <w:basedOn w:val="DefaultParagraphFont"/>
    <w:link w:val="Heading6"/>
    <w:rsid w:val="00011CF6"/>
    <w:rPr>
      <w:rFonts w:ascii="Tw Cen MT" w:eastAsia="Times New Roman" w:hAnsi="Tw Cen MT" w:cstheme="minorBidi"/>
      <w:b/>
      <w:color w:val="06357A" w:themeColor="accen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1</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2014-03-12T15:27:00Z</cp:lastPrinted>
  <dcterms:created xsi:type="dcterms:W3CDTF">2017-10-28T14:12:00Z</dcterms:created>
  <dcterms:modified xsi:type="dcterms:W3CDTF">2017-10-28T14:12:00Z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